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16B0F">
      <w:pPr>
        <w:pStyle w:val="8"/>
        <w:snapToGrid w:val="0"/>
        <w:spacing w:line="360" w:lineRule="auto"/>
        <w:ind w:firstLine="0" w:firstLineChars="0"/>
        <w:jc w:val="both"/>
        <w:rPr>
          <w:rFonts w:hint="eastAsia" w:ascii="宋体" w:hAnsi="宋体" w:cs="宋体"/>
          <w:b/>
          <w:bCs/>
          <w:sz w:val="30"/>
          <w:szCs w:val="30"/>
          <w:lang w:val="en-US" w:eastAsia="zh-CN"/>
        </w:rPr>
      </w:pPr>
      <w:r>
        <w:rPr>
          <w:rFonts w:hint="eastAsia" w:ascii="黑体" w:hAnsi="黑体" w:eastAsia="黑体" w:cs="黑体"/>
          <w:b w:val="0"/>
          <w:bCs w:val="0"/>
          <w:sz w:val="32"/>
          <w:szCs w:val="32"/>
          <w:lang w:eastAsia="zh-CN"/>
        </w:rPr>
        <w:t>附件</w:t>
      </w:r>
      <w:r>
        <w:rPr>
          <w:rFonts w:hint="eastAsia" w:ascii="宋体" w:hAnsi="宋体" w:cs="宋体"/>
          <w:b/>
          <w:bCs/>
          <w:sz w:val="30"/>
          <w:szCs w:val="30"/>
          <w:lang w:val="en-US" w:eastAsia="zh-CN"/>
        </w:rPr>
        <w:t xml:space="preserve">           </w:t>
      </w:r>
    </w:p>
    <w:p w14:paraId="68D3A01B">
      <w:pPr>
        <w:pStyle w:val="8"/>
        <w:keepNext w:val="0"/>
        <w:keepLines w:val="0"/>
        <w:pageBreakBefore w:val="0"/>
        <w:widowControl w:val="0"/>
        <w:kinsoku/>
        <w:wordWrap/>
        <w:overflowPunct/>
        <w:topLinePunct w:val="0"/>
        <w:autoSpaceDE/>
        <w:autoSpaceDN/>
        <w:bidi w:val="0"/>
        <w:adjustRightInd/>
        <w:snapToGrid w:val="0"/>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eastAsia="zh-CN"/>
        </w:rPr>
        <w:t>福建省</w:t>
      </w:r>
      <w:r>
        <w:rPr>
          <w:rFonts w:hint="eastAsia" w:ascii="方正小标宋简体" w:hAnsi="方正小标宋简体" w:eastAsia="方正小标宋简体" w:cs="方正小标宋简体"/>
          <w:b w:val="0"/>
          <w:bCs w:val="0"/>
          <w:sz w:val="44"/>
          <w:szCs w:val="44"/>
        </w:rPr>
        <w:t>水利工程乙级质量检测单位“双随机、一公开”</w:t>
      </w:r>
    </w:p>
    <w:p w14:paraId="6B89AF36">
      <w:pPr>
        <w:pStyle w:val="8"/>
        <w:keepNext w:val="0"/>
        <w:keepLines w:val="0"/>
        <w:pageBreakBefore w:val="0"/>
        <w:widowControl w:val="0"/>
        <w:kinsoku/>
        <w:wordWrap/>
        <w:overflowPunct/>
        <w:topLinePunct w:val="0"/>
        <w:autoSpaceDE/>
        <w:autoSpaceDN/>
        <w:bidi w:val="0"/>
        <w:adjustRightInd/>
        <w:snapToGrid w:val="0"/>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抽查结果及整改情况表</w:t>
      </w:r>
    </w:p>
    <w:tbl>
      <w:tblPr>
        <w:tblStyle w:val="6"/>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449"/>
        <w:gridCol w:w="1215"/>
        <w:gridCol w:w="4160"/>
        <w:gridCol w:w="1465"/>
        <w:gridCol w:w="4325"/>
        <w:gridCol w:w="1525"/>
      </w:tblGrid>
      <w:tr w14:paraId="7234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401" w:type="dxa"/>
            <w:vAlign w:val="center"/>
          </w:tcPr>
          <w:p w14:paraId="4F1FAB0A">
            <w:pPr>
              <w:widowControl/>
              <w:jc w:val="center"/>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1449" w:type="dxa"/>
            <w:vAlign w:val="center"/>
          </w:tcPr>
          <w:p w14:paraId="3DD8DAF7">
            <w:pPr>
              <w:widowControl/>
              <w:jc w:val="center"/>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单位名称</w:t>
            </w:r>
          </w:p>
        </w:tc>
        <w:tc>
          <w:tcPr>
            <w:tcW w:w="1215" w:type="dxa"/>
            <w:vAlign w:val="center"/>
          </w:tcPr>
          <w:p w14:paraId="788C68DC">
            <w:pPr>
              <w:widowControl/>
              <w:jc w:val="center"/>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资质情况</w:t>
            </w:r>
          </w:p>
        </w:tc>
        <w:tc>
          <w:tcPr>
            <w:tcW w:w="4160" w:type="dxa"/>
            <w:vAlign w:val="center"/>
          </w:tcPr>
          <w:p w14:paraId="19DA46C7">
            <w:pPr>
              <w:widowControl/>
              <w:jc w:val="center"/>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存在问题</w:t>
            </w:r>
          </w:p>
        </w:tc>
        <w:tc>
          <w:tcPr>
            <w:tcW w:w="1465" w:type="dxa"/>
            <w:vAlign w:val="center"/>
          </w:tcPr>
          <w:p w14:paraId="6511DD98">
            <w:pPr>
              <w:widowControl/>
              <w:shd w:val="clear" w:color="auto" w:fill="auto"/>
              <w:jc w:val="center"/>
              <w:rPr>
                <w:rFonts w:hint="eastAsia" w:ascii="仿宋_GB2312" w:hAnsi="仿宋_GB2312" w:eastAsia="仿宋_GB2312" w:cs="仿宋_GB2312"/>
                <w:b/>
                <w:bCs/>
                <w:color w:val="auto"/>
                <w:kern w:val="0"/>
                <w:sz w:val="21"/>
                <w:szCs w:val="21"/>
                <w:lang w:eastAsia="zh-CN"/>
              </w:rPr>
            </w:pPr>
            <w:r>
              <w:rPr>
                <w:rFonts w:hint="eastAsia" w:ascii="仿宋_GB2312" w:hAnsi="仿宋_GB2312" w:eastAsia="仿宋_GB2312" w:cs="仿宋_GB2312"/>
                <w:b/>
                <w:bCs/>
                <w:color w:val="auto"/>
                <w:kern w:val="0"/>
                <w:sz w:val="21"/>
                <w:szCs w:val="21"/>
                <w:lang w:eastAsia="zh-CN"/>
              </w:rPr>
              <w:t>处理意见</w:t>
            </w:r>
          </w:p>
        </w:tc>
        <w:tc>
          <w:tcPr>
            <w:tcW w:w="4325" w:type="dxa"/>
            <w:vAlign w:val="center"/>
          </w:tcPr>
          <w:p w14:paraId="2BC3DFEC">
            <w:pPr>
              <w:widowControl/>
              <w:shd w:val="clear" w:color="auto" w:fill="auto"/>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 w:val="21"/>
                <w:szCs w:val="21"/>
              </w:rPr>
              <w:t>处理</w:t>
            </w:r>
            <w:r>
              <w:rPr>
                <w:rFonts w:hint="eastAsia" w:ascii="仿宋_GB2312" w:hAnsi="仿宋_GB2312" w:eastAsia="仿宋_GB2312" w:cs="仿宋_GB2312"/>
                <w:b/>
                <w:bCs/>
                <w:color w:val="auto"/>
                <w:kern w:val="0"/>
                <w:sz w:val="21"/>
                <w:szCs w:val="21"/>
                <w:lang w:eastAsia="zh-CN"/>
              </w:rPr>
              <w:t>依据</w:t>
            </w:r>
          </w:p>
        </w:tc>
        <w:tc>
          <w:tcPr>
            <w:tcW w:w="1525" w:type="dxa"/>
            <w:vAlign w:val="center"/>
          </w:tcPr>
          <w:p w14:paraId="03AB021C">
            <w:pPr>
              <w:widowControl/>
              <w:shd w:val="clear" w:color="auto" w:fill="auto"/>
              <w:jc w:val="center"/>
              <w:rPr>
                <w:rFonts w:hint="eastAsia" w:ascii="仿宋_GB2312" w:hAnsi="仿宋_GB2312" w:eastAsia="仿宋_GB2312" w:cs="仿宋_GB2312"/>
                <w:b/>
                <w:bCs/>
                <w:color w:val="auto"/>
                <w:kern w:val="0"/>
                <w:sz w:val="21"/>
                <w:szCs w:val="21"/>
                <w:lang w:eastAsia="zh-CN"/>
              </w:rPr>
            </w:pPr>
            <w:r>
              <w:rPr>
                <w:rFonts w:hint="eastAsia" w:ascii="仿宋_GB2312" w:hAnsi="仿宋_GB2312" w:eastAsia="仿宋_GB2312" w:cs="仿宋_GB2312"/>
                <w:b/>
                <w:bCs/>
                <w:color w:val="auto"/>
                <w:kern w:val="0"/>
                <w:sz w:val="21"/>
                <w:szCs w:val="21"/>
                <w:lang w:eastAsia="zh-CN"/>
              </w:rPr>
              <w:t>整改情况</w:t>
            </w:r>
          </w:p>
        </w:tc>
      </w:tr>
      <w:tr w14:paraId="105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401" w:type="dxa"/>
            <w:shd w:val="clear" w:color="auto" w:fill="auto"/>
            <w:vAlign w:val="center"/>
          </w:tcPr>
          <w:p w14:paraId="16068DB3">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bidi="ar-SA"/>
              </w:rPr>
              <w:t>1</w:t>
            </w:r>
          </w:p>
        </w:tc>
        <w:tc>
          <w:tcPr>
            <w:tcW w:w="1449" w:type="dxa"/>
            <w:shd w:val="clear" w:color="auto" w:fill="auto"/>
            <w:vAlign w:val="center"/>
          </w:tcPr>
          <w:p w14:paraId="109DA7AC">
            <w:pPr>
              <w:widowControl/>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auto"/>
                <w:kern w:val="0"/>
                <w:sz w:val="21"/>
                <w:szCs w:val="21"/>
              </w:rPr>
              <w:t>福建安源工程质量检测有限公司</w:t>
            </w:r>
          </w:p>
        </w:tc>
        <w:tc>
          <w:tcPr>
            <w:tcW w:w="1215" w:type="dxa"/>
            <w:shd w:val="clear" w:color="auto" w:fill="auto"/>
            <w:vAlign w:val="center"/>
          </w:tcPr>
          <w:p w14:paraId="13E4D978">
            <w:pPr>
              <w:widowControl/>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混凝土类、金属结构类</w:t>
            </w:r>
          </w:p>
        </w:tc>
        <w:tc>
          <w:tcPr>
            <w:tcW w:w="4160" w:type="dxa"/>
            <w:shd w:val="clear" w:color="auto" w:fill="auto"/>
            <w:vAlign w:val="top"/>
          </w:tcPr>
          <w:p w14:paraId="285319E8">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p>
          <w:p w14:paraId="089AE162">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p>
          <w:p w14:paraId="4C9FCE6A">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1.金属结构类符合要求的人员少于10人。</w:t>
            </w:r>
          </w:p>
          <w:p w14:paraId="54F64051">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2.企业相关信息在全国水利建设市场监管平台上备案不够完整。</w:t>
            </w:r>
          </w:p>
          <w:p w14:paraId="4C811C4A">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3.未按规定明确法定代表人职责。</w:t>
            </w:r>
          </w:p>
          <w:p w14:paraId="1D11E4FF">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4.编号为A11430CSK-IA/20HE b012318的RB-2/20型超声波探伤仪校验试块未校准或检定。</w:t>
            </w:r>
          </w:p>
          <w:p w14:paraId="022454A9">
            <w:pPr>
              <w:spacing w:line="240" w:lineRule="exact"/>
              <w:ind w:firstLine="420" w:firstLineChars="200"/>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5.仪器设备未按规范进行确认。</w:t>
            </w:r>
          </w:p>
        </w:tc>
        <w:tc>
          <w:tcPr>
            <w:tcW w:w="1465" w:type="dxa"/>
            <w:shd w:val="clear" w:color="auto" w:fill="auto"/>
            <w:vAlign w:val="top"/>
          </w:tcPr>
          <w:p w14:paraId="0211FF5D">
            <w:p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0185822A">
            <w:p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589BA507">
            <w:p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0A93F18C">
            <w:pPr>
              <w:spacing w:line="240" w:lineRule="exact"/>
              <w:jc w:val="both"/>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人员限期整改三个月，其他限期整改一个月。整改不到位或逾期未整改的，依法依规实施处理。</w:t>
            </w:r>
          </w:p>
        </w:tc>
        <w:tc>
          <w:tcPr>
            <w:tcW w:w="4325" w:type="dxa"/>
            <w:shd w:val="clear" w:color="auto" w:fill="auto"/>
            <w:vAlign w:val="top"/>
          </w:tcPr>
          <w:p w14:paraId="2BD9373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p>
          <w:p w14:paraId="77B3255D">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水利部关于发布水利工程质量检测单位资质等级标准的公告》（水利部公告2018年第3号)附件。</w:t>
            </w:r>
          </w:p>
          <w:p w14:paraId="689548F0">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《水利部关于印发水利建设市场主体信用信息管理办法的通知》（水建设〔2024〕201号）第七条、第八条。</w:t>
            </w:r>
          </w:p>
          <w:p w14:paraId="3C95F4A5">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highlight w:val="none"/>
                <w:lang w:val="en-US" w:eastAsia="zh-CN" w:bidi="en-US"/>
              </w:rPr>
              <w:t>《检验检测机构监督管理办法》国家市场监督管理总局39号令第101号修订版</w:t>
            </w:r>
            <w:r>
              <w:rPr>
                <w:rFonts w:hint="eastAsia" w:ascii="仿宋_GB2312" w:hAnsi="仿宋_GB2312" w:eastAsia="仿宋_GB2312" w:cs="仿宋_GB2312"/>
                <w:b w:val="0"/>
                <w:bCs w:val="0"/>
                <w:color w:val="auto"/>
                <w:kern w:val="0"/>
                <w:sz w:val="21"/>
                <w:szCs w:val="21"/>
                <w:highlight w:val="none"/>
                <w:lang w:val="en-US" w:eastAsia="zh" w:bidi="en-US"/>
                <w:woUserID w:val="1"/>
              </w:rPr>
              <w:t>。</w:t>
            </w:r>
          </w:p>
          <w:p w14:paraId="004CD074">
            <w:pPr>
              <w:spacing w:line="240" w:lineRule="exact"/>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4.《水利工程质量检测管理规定》（水利部令第36号）第十三条、第十五条。</w:t>
            </w:r>
          </w:p>
        </w:tc>
        <w:tc>
          <w:tcPr>
            <w:tcW w:w="1525" w:type="dxa"/>
            <w:shd w:val="clear" w:color="auto" w:fill="auto"/>
            <w:vAlign w:val="center"/>
          </w:tcPr>
          <w:p w14:paraId="6407111A">
            <w:pPr>
              <w:spacing w:line="240" w:lineRule="exact"/>
              <w:jc w:val="center"/>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按期整改完成</w:t>
            </w:r>
          </w:p>
        </w:tc>
      </w:tr>
      <w:tr w14:paraId="652F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401" w:type="dxa"/>
            <w:shd w:val="clear" w:color="auto" w:fill="auto"/>
            <w:vAlign w:val="center"/>
          </w:tcPr>
          <w:p w14:paraId="360B7A6C">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bidi="ar-SA"/>
              </w:rPr>
              <w:t>2</w:t>
            </w:r>
          </w:p>
        </w:tc>
        <w:tc>
          <w:tcPr>
            <w:tcW w:w="1449" w:type="dxa"/>
            <w:shd w:val="clear" w:color="auto" w:fill="auto"/>
            <w:vAlign w:val="center"/>
          </w:tcPr>
          <w:p w14:paraId="29119BA2">
            <w:pPr>
              <w:widowControl/>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auto"/>
                <w:kern w:val="0"/>
                <w:sz w:val="21"/>
                <w:szCs w:val="21"/>
              </w:rPr>
              <w:t>福建陆江工程质量检测有限公司</w:t>
            </w:r>
          </w:p>
        </w:tc>
        <w:tc>
          <w:tcPr>
            <w:tcW w:w="1215" w:type="dxa"/>
            <w:shd w:val="clear" w:color="auto" w:fill="auto"/>
            <w:vAlign w:val="center"/>
          </w:tcPr>
          <w:p w14:paraId="5F917981">
            <w:pPr>
              <w:widowControl/>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混凝土类、岩土类</w:t>
            </w:r>
          </w:p>
        </w:tc>
        <w:tc>
          <w:tcPr>
            <w:tcW w:w="4160" w:type="dxa"/>
            <w:shd w:val="clear" w:color="auto" w:fill="auto"/>
            <w:vAlign w:val="top"/>
          </w:tcPr>
          <w:p w14:paraId="61B91736">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p w14:paraId="725DBCA8">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p w14:paraId="1B1D6443">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p w14:paraId="4E7FDC22">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1.混凝土类检测报告未按年度统一编号。</w:t>
            </w:r>
          </w:p>
          <w:p w14:paraId="6BB44825">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2.未按规定明确法定代表人职责。</w:t>
            </w:r>
          </w:p>
          <w:p w14:paraId="62890B4C">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3.岩土类编号为WTTWL202507002的击实试验记录检测人员仅为1名。</w:t>
            </w:r>
          </w:p>
          <w:p w14:paraId="065EFFC1">
            <w:pPr>
              <w:widowControl/>
              <w:numPr>
                <w:ilvl w:val="0"/>
                <w:numId w:val="0"/>
              </w:numPr>
              <w:ind w:firstLine="420" w:firstLineChars="200"/>
              <w:jc w:val="left"/>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4.岩土类</w:t>
            </w:r>
            <w:r>
              <w:rPr>
                <w:rFonts w:hint="eastAsia" w:ascii="仿宋_GB2312" w:hAnsi="仿宋_GB2312" w:eastAsia="仿宋_GB2312" w:cs="仿宋_GB2312"/>
                <w:b w:val="0"/>
                <w:bCs w:val="0"/>
                <w:sz w:val="21"/>
                <w:szCs w:val="21"/>
                <w:highlight w:val="none"/>
                <w:lang w:val="en-US" w:eastAsia="zh-CN"/>
              </w:rPr>
              <w:t>检测报告未按年度统一编号。</w:t>
            </w:r>
          </w:p>
        </w:tc>
        <w:tc>
          <w:tcPr>
            <w:tcW w:w="1465" w:type="dxa"/>
            <w:shd w:val="clear" w:color="auto" w:fill="auto"/>
            <w:vAlign w:val="top"/>
          </w:tcPr>
          <w:p w14:paraId="141B7FDC">
            <w:pPr>
              <w:widowControl/>
              <w:numPr>
                <w:ilvl w:val="0"/>
                <w:numId w:val="0"/>
              </w:numPr>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39030B47">
            <w:pPr>
              <w:widowControl/>
              <w:numPr>
                <w:ilvl w:val="0"/>
                <w:numId w:val="0"/>
              </w:numPr>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46C313C5">
            <w:pPr>
              <w:widowControl/>
              <w:numPr>
                <w:ilvl w:val="0"/>
                <w:numId w:val="0"/>
              </w:numPr>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val="en-US" w:eastAsia="zh-CN"/>
              </w:rPr>
              <w:t>限期整改一个月。整改不到位或逾期未整改的，依法依规实施处理。</w:t>
            </w:r>
          </w:p>
        </w:tc>
        <w:tc>
          <w:tcPr>
            <w:tcW w:w="4325" w:type="dxa"/>
            <w:shd w:val="clear" w:color="auto" w:fill="auto"/>
            <w:vAlign w:val="top"/>
          </w:tcPr>
          <w:p w14:paraId="35910F9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p>
          <w:p w14:paraId="0CE18364">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1.《水利工程质量检测管理规定》（水利部令第36号）第十九条。</w:t>
            </w:r>
          </w:p>
          <w:p w14:paraId="41C91AB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center"/>
              <w:outlineLvl w:val="9"/>
              <w:rPr>
                <w:rFonts w:hint="eastAsia" w:ascii="仿宋_GB2312" w:hAnsi="仿宋_GB2312" w:eastAsia="仿宋_GB2312" w:cs="仿宋_GB2312"/>
                <w:b w:val="0"/>
                <w:bCs w:val="0"/>
                <w:color w:val="auto"/>
                <w:kern w:val="0"/>
                <w:sz w:val="21"/>
                <w:szCs w:val="21"/>
                <w:highlight w:val="none"/>
                <w:lang w:val="en-US" w:eastAsia="zh-CN" w:bidi="en-US"/>
              </w:rPr>
            </w:pP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0"/>
                <w:sz w:val="21"/>
                <w:szCs w:val="21"/>
                <w:highlight w:val="none"/>
                <w:lang w:val="en-US" w:eastAsia="zh-CN" w:bidi="en-US"/>
              </w:rPr>
              <w:t>《检验检测机构监督管理办法》国家市场监督管理总局39号令第101号修订版。</w:t>
            </w:r>
          </w:p>
          <w:p w14:paraId="4E39164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highlight w:val="none"/>
                <w:lang w:val="en-US" w:eastAsia="zh-CN" w:bidi="en-US"/>
              </w:rPr>
              <w:t>3.</w:t>
            </w:r>
            <w:r>
              <w:rPr>
                <w:rFonts w:hint="eastAsia" w:ascii="仿宋_GB2312" w:hAnsi="仿宋_GB2312" w:eastAsia="仿宋_GB2312" w:cs="仿宋_GB2312"/>
                <w:b w:val="0"/>
                <w:bCs w:val="0"/>
                <w:color w:val="auto"/>
                <w:kern w:val="0"/>
                <w:sz w:val="21"/>
                <w:szCs w:val="21"/>
                <w:lang w:val="en-US" w:eastAsia="zh-CN"/>
              </w:rPr>
              <w:t>《水利工程质量检测管理规定》（水利部令第36号）第十五条。</w:t>
            </w:r>
          </w:p>
          <w:p w14:paraId="2CE3F8A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4.《水利工程质量检测管理规定》（水利部令第36号）第十九条。</w:t>
            </w:r>
          </w:p>
          <w:p w14:paraId="7BBBF75C">
            <w:pPr>
              <w:widowControl/>
              <w:numPr>
                <w:ilvl w:val="0"/>
                <w:numId w:val="0"/>
              </w:numPr>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tc>
        <w:tc>
          <w:tcPr>
            <w:tcW w:w="1525" w:type="dxa"/>
            <w:shd w:val="clear" w:color="auto" w:fill="auto"/>
            <w:vAlign w:val="center"/>
          </w:tcPr>
          <w:p w14:paraId="36AFA355">
            <w:pPr>
              <w:spacing w:line="240" w:lineRule="exact"/>
              <w:jc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按期整改完成</w:t>
            </w:r>
          </w:p>
        </w:tc>
      </w:tr>
      <w:tr w14:paraId="0989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401" w:type="dxa"/>
            <w:shd w:val="clear" w:color="auto" w:fill="auto"/>
            <w:vAlign w:val="center"/>
          </w:tcPr>
          <w:p w14:paraId="4C8DEEFF">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bidi="ar-SA"/>
              </w:rPr>
              <w:t>3</w:t>
            </w:r>
          </w:p>
        </w:tc>
        <w:tc>
          <w:tcPr>
            <w:tcW w:w="1449" w:type="dxa"/>
            <w:shd w:val="clear" w:color="auto" w:fill="auto"/>
            <w:vAlign w:val="center"/>
          </w:tcPr>
          <w:p w14:paraId="10DDA45B">
            <w:pPr>
              <w:widowControl/>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宁德市昌泰工程检测有限公司</w:t>
            </w:r>
          </w:p>
        </w:tc>
        <w:tc>
          <w:tcPr>
            <w:tcW w:w="1215" w:type="dxa"/>
            <w:shd w:val="clear" w:color="auto" w:fill="auto"/>
            <w:vAlign w:val="center"/>
          </w:tcPr>
          <w:p w14:paraId="71AA051F">
            <w:pPr>
              <w:widowControl/>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混凝土类、岩土类</w:t>
            </w:r>
          </w:p>
        </w:tc>
        <w:tc>
          <w:tcPr>
            <w:tcW w:w="4160" w:type="dxa"/>
            <w:shd w:val="clear" w:color="auto" w:fill="auto"/>
            <w:vAlign w:val="top"/>
          </w:tcPr>
          <w:p w14:paraId="63EC7CEE">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p w14:paraId="6C6DFE1E">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1.公司地址搬迁，未做变更手续。</w:t>
            </w:r>
          </w:p>
          <w:p w14:paraId="38666A37">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2.未按规定明确法定代表人职责。</w:t>
            </w:r>
          </w:p>
          <w:p w14:paraId="1407CE58">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3.2025年人员培训年度初步计划表未见标准规范培训内容。</w:t>
            </w:r>
          </w:p>
          <w:p w14:paraId="3C11524C">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4.未对国家市场局第101号修订版文件宣贯、培训学习。</w:t>
            </w:r>
          </w:p>
          <w:p w14:paraId="2B9AB6EE">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5.实验室2025年度质量控制计划的检测项目，未涵盖岩土类资质参数。</w:t>
            </w:r>
          </w:p>
          <w:p w14:paraId="6CF29A31">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6.JN023水泥净浆量水器未维护保养。</w:t>
            </w:r>
          </w:p>
          <w:p w14:paraId="29F85418">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7.集料检测用10L、20L容积升底板厚度小于5mm，不符合规范要求。</w:t>
            </w:r>
          </w:p>
          <w:p w14:paraId="0D4FA592">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8.渗透仪、粗粒土垂直渗透变形仪、应变控制室直剪仪等仪器设备未检定或校准。</w:t>
            </w:r>
          </w:p>
        </w:tc>
        <w:tc>
          <w:tcPr>
            <w:tcW w:w="1465" w:type="dxa"/>
            <w:shd w:val="clear" w:color="auto" w:fill="auto"/>
            <w:vAlign w:val="top"/>
          </w:tcPr>
          <w:p w14:paraId="33A7B563">
            <w:pPr>
              <w:spacing w:line="240" w:lineRule="exact"/>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1D28A102">
            <w:pPr>
              <w:spacing w:line="240" w:lineRule="exact"/>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099CE57E">
            <w:pPr>
              <w:spacing w:line="240" w:lineRule="exact"/>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7200500B">
            <w:pPr>
              <w:spacing w:line="240" w:lineRule="exact"/>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7EA491FF">
            <w:pPr>
              <w:spacing w:line="240" w:lineRule="exact"/>
              <w:jc w:val="left"/>
              <w:rPr>
                <w:rFonts w:hint="eastAsia" w:ascii="仿宋_GB2312" w:hAnsi="仿宋_GB2312" w:eastAsia="仿宋_GB2312" w:cs="仿宋_GB2312"/>
                <w:b w:val="0"/>
                <w:bCs w:val="0"/>
                <w:color w:val="auto"/>
                <w:kern w:val="0"/>
                <w:sz w:val="21"/>
                <w:szCs w:val="21"/>
                <w:lang w:val="en-US" w:eastAsia="zh-CN"/>
              </w:rPr>
            </w:pPr>
          </w:p>
          <w:p w14:paraId="752191D0">
            <w:pPr>
              <w:spacing w:line="24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val="en-US" w:eastAsia="zh-CN"/>
              </w:rPr>
              <w:t>限期整改一个月。整改不到位或逾期未整改的，依法依规实施处理。</w:t>
            </w:r>
          </w:p>
        </w:tc>
        <w:tc>
          <w:tcPr>
            <w:tcW w:w="4325" w:type="dxa"/>
            <w:shd w:val="clear" w:color="auto" w:fill="auto"/>
            <w:vAlign w:val="top"/>
          </w:tcPr>
          <w:p w14:paraId="4D48D39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p>
          <w:p w14:paraId="02B8A89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1.《水利工程质量检测管理规定》（水利部令第36号）第十条。</w:t>
            </w:r>
          </w:p>
          <w:p w14:paraId="6B6053D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2.《检验检测机构监督管理办法》（2021年4月8日国家市场监督管理总局令第39号公布，根据2025年3月18日国家市场监督管理总局令第101号修订）第六条。</w:t>
            </w:r>
          </w:p>
          <w:p w14:paraId="6CCF62F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3.“水利部关于水利工程甲级质量检测单位资质认定有关事项的公告”2023年第18号附件2。</w:t>
            </w:r>
          </w:p>
          <w:p w14:paraId="40F3375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4.市场监管总局《检验检测机构质认定评审准则》 2023年第21号第十一条，第十二条。</w:t>
            </w:r>
          </w:p>
          <w:p w14:paraId="62DD15B0">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tc>
        <w:tc>
          <w:tcPr>
            <w:tcW w:w="1525" w:type="dxa"/>
            <w:shd w:val="clear" w:color="auto" w:fill="auto"/>
            <w:vAlign w:val="center"/>
          </w:tcPr>
          <w:p w14:paraId="11B29202">
            <w:pPr>
              <w:spacing w:line="240" w:lineRule="exact"/>
              <w:jc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按期整改完成</w:t>
            </w:r>
          </w:p>
        </w:tc>
      </w:tr>
      <w:tr w14:paraId="20EA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shd w:val="clear" w:color="auto" w:fill="auto"/>
            <w:vAlign w:val="center"/>
          </w:tcPr>
          <w:p w14:paraId="73C01A1F">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bidi="ar-SA"/>
              </w:rPr>
              <w:t>4</w:t>
            </w:r>
          </w:p>
        </w:tc>
        <w:tc>
          <w:tcPr>
            <w:tcW w:w="1449" w:type="dxa"/>
            <w:shd w:val="clear" w:color="auto" w:fill="auto"/>
            <w:vAlign w:val="center"/>
          </w:tcPr>
          <w:p w14:paraId="1EED3AB7">
            <w:pPr>
              <w:widowControl/>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福建海丝水务工程技术有限公司</w:t>
            </w:r>
          </w:p>
        </w:tc>
        <w:tc>
          <w:tcPr>
            <w:tcW w:w="1215" w:type="dxa"/>
            <w:shd w:val="clear" w:color="auto" w:fill="auto"/>
            <w:vAlign w:val="center"/>
          </w:tcPr>
          <w:p w14:paraId="452928F0">
            <w:pPr>
              <w:widowControl/>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混凝土类、岩土类</w:t>
            </w:r>
          </w:p>
        </w:tc>
        <w:tc>
          <w:tcPr>
            <w:tcW w:w="4160" w:type="dxa"/>
            <w:shd w:val="clear" w:color="auto" w:fill="auto"/>
            <w:vAlign w:val="top"/>
          </w:tcPr>
          <w:p w14:paraId="2F16DCF3">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p w14:paraId="3B99D157">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1.未按规定明确法定代表人职责。</w:t>
            </w:r>
          </w:p>
          <w:p w14:paraId="155B148B">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2.未对国家市场局第101号修订版文件宣贯、培训学习。</w:t>
            </w:r>
          </w:p>
          <w:p w14:paraId="11BDF221">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3.实验室2025年人员培训年度初步计划及检测监督计划，未见岩土类检测项目/参数标准等内容。</w:t>
            </w:r>
          </w:p>
          <w:p w14:paraId="5698C01F">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 w:bidi="ar-SA"/>
                <w:woUserID w:val="1"/>
              </w:rPr>
            </w:pPr>
            <w:r>
              <w:rPr>
                <w:rFonts w:hint="eastAsia" w:ascii="仿宋_GB2312" w:hAnsi="仿宋_GB2312" w:eastAsia="仿宋_GB2312" w:cs="仿宋_GB2312"/>
                <w:b w:val="0"/>
                <w:bCs w:val="0"/>
                <w:kern w:val="2"/>
                <w:sz w:val="21"/>
                <w:szCs w:val="21"/>
                <w:highlight w:val="none"/>
                <w:lang w:val="en-US" w:eastAsia="zh-CN" w:bidi="ar-SA"/>
              </w:rPr>
              <w:t>4.未独立配置集料检测用10L、20L容积升</w:t>
            </w:r>
            <w:r>
              <w:rPr>
                <w:rFonts w:hint="eastAsia" w:ascii="仿宋_GB2312" w:hAnsi="仿宋_GB2312" w:eastAsia="仿宋_GB2312" w:cs="仿宋_GB2312"/>
                <w:b w:val="0"/>
                <w:bCs w:val="0"/>
                <w:kern w:val="2"/>
                <w:sz w:val="21"/>
                <w:szCs w:val="21"/>
                <w:highlight w:val="none"/>
                <w:lang w:val="en-US" w:eastAsia="zh" w:bidi="ar-SA"/>
                <w:woUserID w:val="1"/>
              </w:rPr>
              <w:t>。</w:t>
            </w:r>
          </w:p>
          <w:p w14:paraId="43B94B23">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5.坚固性三角网篮150mm锈蚀未更新。</w:t>
            </w:r>
          </w:p>
          <w:p w14:paraId="70AE8D79">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6.渗透临界坡降的垂直渗透变形仪放在室外，难以满试验用水的温度不低于室温的要求。</w:t>
            </w:r>
          </w:p>
          <w:p w14:paraId="7BB1592B">
            <w:pPr>
              <w:spacing w:line="240" w:lineRule="exact"/>
              <w:ind w:firstLine="420" w:firstLineChars="200"/>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kern w:val="2"/>
                <w:sz w:val="21"/>
                <w:szCs w:val="21"/>
                <w:highlight w:val="none"/>
                <w:lang w:val="en-US" w:eastAsia="zh-CN" w:bidi="ar-SA"/>
              </w:rPr>
              <w:t>7.土工膜厚度测定用的土工布厚度仪校准结果未按规定确认最小分度值是否满足0.001mm的要求。</w:t>
            </w:r>
          </w:p>
        </w:tc>
        <w:tc>
          <w:tcPr>
            <w:tcW w:w="1465" w:type="dxa"/>
            <w:shd w:val="clear" w:color="auto" w:fill="auto"/>
            <w:vAlign w:val="top"/>
          </w:tcPr>
          <w:p w14:paraId="5D79734A">
            <w:pPr>
              <w:spacing w:line="240" w:lineRule="exact"/>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23B39BC7">
            <w:pPr>
              <w:spacing w:line="240" w:lineRule="exact"/>
              <w:ind w:firstLine="420" w:firstLineChars="200"/>
              <w:jc w:val="left"/>
              <w:rPr>
                <w:rFonts w:hint="eastAsia" w:ascii="仿宋_GB2312" w:hAnsi="仿宋_GB2312" w:eastAsia="仿宋_GB2312" w:cs="仿宋_GB2312"/>
                <w:b w:val="0"/>
                <w:bCs w:val="0"/>
                <w:color w:val="auto"/>
                <w:kern w:val="0"/>
                <w:sz w:val="21"/>
                <w:szCs w:val="21"/>
                <w:lang w:val="en-US" w:eastAsia="zh-CN"/>
              </w:rPr>
            </w:pPr>
          </w:p>
          <w:p w14:paraId="4660D311">
            <w:pPr>
              <w:spacing w:line="24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val="en-US" w:eastAsia="zh-CN"/>
              </w:rPr>
              <w:t>限期整改一个月。整改不到位或逾期未整改的，依法依规实施处理。</w:t>
            </w:r>
          </w:p>
        </w:tc>
        <w:tc>
          <w:tcPr>
            <w:tcW w:w="4325" w:type="dxa"/>
            <w:shd w:val="clear" w:color="auto" w:fill="auto"/>
            <w:vAlign w:val="top"/>
          </w:tcPr>
          <w:p w14:paraId="4149673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p>
          <w:p w14:paraId="4906C5E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p>
          <w:p w14:paraId="0C0FB41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1.</w:t>
            </w:r>
            <w:r>
              <w:rPr>
                <w:rFonts w:hint="eastAsia" w:ascii="仿宋_GB2312" w:hAnsi="仿宋_GB2312" w:eastAsia="仿宋_GB2312" w:cs="仿宋_GB2312"/>
                <w:b w:val="0"/>
                <w:bCs w:val="0"/>
                <w:color w:val="auto"/>
                <w:kern w:val="0"/>
                <w:sz w:val="21"/>
                <w:szCs w:val="21"/>
                <w:lang w:val="en-US" w:eastAsia="zh-CN" w:bidi="ar-SA"/>
              </w:rPr>
              <w:t>《检验检测机构监督管理办法》（2021年4月8日国家市场监督管理总局令第39号公布，根据2025年3月18日国家市场监督管理总局令第101号修订）第六条。</w:t>
            </w:r>
          </w:p>
          <w:p w14:paraId="740CC8F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0"/>
                <w:sz w:val="21"/>
                <w:szCs w:val="21"/>
                <w:lang w:val="en-US" w:eastAsia="zh-CN" w:bidi="ar-SA"/>
              </w:rPr>
              <w:t>市场监管总局《检验检测机构质认定评审准则》 2023年第21号第十一条，第十二条。</w:t>
            </w:r>
          </w:p>
          <w:p w14:paraId="1933836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3.“水利部关于水利工程甲级质量检测单位资质认定有关事项的公告”2023年第18号附件2。</w:t>
            </w:r>
          </w:p>
          <w:p w14:paraId="649C120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sz w:val="21"/>
                <w:szCs w:val="21"/>
              </w:rPr>
              <w:t>　</w:t>
            </w:r>
          </w:p>
          <w:p w14:paraId="7D600DB9">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p>
        </w:tc>
        <w:tc>
          <w:tcPr>
            <w:tcW w:w="1525" w:type="dxa"/>
            <w:shd w:val="clear" w:color="auto" w:fill="auto"/>
            <w:vAlign w:val="center"/>
          </w:tcPr>
          <w:p w14:paraId="7DB7BC9D">
            <w:pPr>
              <w:spacing w:line="240" w:lineRule="exact"/>
              <w:jc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按期整改完成</w:t>
            </w:r>
          </w:p>
        </w:tc>
      </w:tr>
      <w:tr w14:paraId="69EB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shd w:val="clear" w:color="auto" w:fill="auto"/>
            <w:vAlign w:val="center"/>
          </w:tcPr>
          <w:p w14:paraId="49D2D674">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bidi="ar-SA"/>
              </w:rPr>
              <w:t>5</w:t>
            </w:r>
          </w:p>
        </w:tc>
        <w:tc>
          <w:tcPr>
            <w:tcW w:w="1449" w:type="dxa"/>
            <w:shd w:val="clear" w:color="auto" w:fill="auto"/>
            <w:vAlign w:val="center"/>
          </w:tcPr>
          <w:p w14:paraId="6789CFD7">
            <w:pPr>
              <w:widowControl/>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福建东鑫检测工程有限公司</w:t>
            </w:r>
          </w:p>
        </w:tc>
        <w:tc>
          <w:tcPr>
            <w:tcW w:w="1215" w:type="dxa"/>
            <w:shd w:val="clear" w:color="auto" w:fill="auto"/>
            <w:vAlign w:val="center"/>
          </w:tcPr>
          <w:p w14:paraId="21A98278">
            <w:pPr>
              <w:widowControl/>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混凝土类、岩土类</w:t>
            </w:r>
          </w:p>
        </w:tc>
        <w:tc>
          <w:tcPr>
            <w:tcW w:w="4160" w:type="dxa"/>
            <w:shd w:val="clear" w:color="auto" w:fill="auto"/>
            <w:vAlign w:val="top"/>
          </w:tcPr>
          <w:p w14:paraId="7B5DD153">
            <w:pPr>
              <w:numPr>
                <w:ilvl w:val="0"/>
                <w:numId w:val="0"/>
              </w:numPr>
              <w:spacing w:line="240" w:lineRule="exact"/>
              <w:jc w:val="both"/>
              <w:rPr>
                <w:rFonts w:hint="eastAsia" w:ascii="仿宋_GB2312" w:hAnsi="仿宋_GB2312" w:eastAsia="仿宋_GB2312" w:cs="仿宋_GB2312"/>
                <w:b w:val="0"/>
                <w:bCs w:val="0"/>
                <w:kern w:val="2"/>
                <w:sz w:val="21"/>
                <w:szCs w:val="21"/>
                <w:lang w:val="en-US" w:eastAsia="zh-CN" w:bidi="ar-SA"/>
              </w:rPr>
            </w:pPr>
          </w:p>
          <w:p w14:paraId="39EB1037">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1.粗粒土垂直渗透变形仪检测操作未编制作业指导书。</w:t>
            </w:r>
          </w:p>
          <w:p w14:paraId="157B2947">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2.水泥检测室同时设置了水泥留样室（未按照功能有效分区）。</w:t>
            </w:r>
          </w:p>
          <w:p w14:paraId="5F9B740A">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3.混凝土检测室、集料检测室设备摆放混乱不便于操作。</w:t>
            </w:r>
          </w:p>
          <w:p w14:paraId="6981450B">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4.水泥细度检测用两套0.045um负压筛其中一个无管理标识，另一个破损未标识或更新；外加剂细度检测用0.080um负压筛未清洁保养；凝结时间检测用基准水泥（出厂日期2025-8-7）无管理标识。</w:t>
            </w:r>
          </w:p>
          <w:p w14:paraId="4A7E9847">
            <w:pPr>
              <w:numPr>
                <w:ilvl w:val="0"/>
                <w:numId w:val="0"/>
              </w:numPr>
              <w:spacing w:line="240" w:lineRule="exact"/>
              <w:jc w:val="both"/>
              <w:rPr>
                <w:rFonts w:hint="eastAsia" w:ascii="仿宋_GB2312" w:hAnsi="仿宋_GB2312" w:eastAsia="仿宋_GB2312" w:cs="仿宋_GB2312"/>
                <w:b w:val="0"/>
                <w:bCs w:val="0"/>
                <w:kern w:val="2"/>
                <w:sz w:val="21"/>
                <w:szCs w:val="21"/>
                <w:highlight w:val="none"/>
                <w:lang w:val="en-US" w:eastAsia="zh-CN" w:bidi="ar-SA"/>
              </w:rPr>
            </w:pPr>
          </w:p>
        </w:tc>
        <w:tc>
          <w:tcPr>
            <w:tcW w:w="1465" w:type="dxa"/>
            <w:shd w:val="clear" w:color="auto" w:fill="auto"/>
            <w:vAlign w:val="top"/>
          </w:tcPr>
          <w:p w14:paraId="54957580">
            <w:pPr>
              <w:numPr>
                <w:ilvl w:val="0"/>
                <w:numId w:val="0"/>
              </w:num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586C207E">
            <w:pPr>
              <w:numPr>
                <w:ilvl w:val="0"/>
                <w:numId w:val="0"/>
              </w:num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5863D1F0">
            <w:pPr>
              <w:numPr>
                <w:ilvl w:val="0"/>
                <w:numId w:val="0"/>
              </w:numPr>
              <w:spacing w:line="240" w:lineRule="exact"/>
              <w:jc w:val="both"/>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val="en-US" w:eastAsia="zh-CN"/>
              </w:rPr>
              <w:t>限期整改一个月。整改不到位或逾期未整改的，依法依规实施处理。</w:t>
            </w:r>
          </w:p>
        </w:tc>
        <w:tc>
          <w:tcPr>
            <w:tcW w:w="4325" w:type="dxa"/>
            <w:shd w:val="clear" w:color="auto" w:fill="auto"/>
            <w:vAlign w:val="top"/>
          </w:tcPr>
          <w:p w14:paraId="5C2A143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4"/>
                <w:szCs w:val="24"/>
                <w:lang w:val="en-US" w:eastAsia="zh-CN" w:bidi="ar-SA"/>
              </w:rPr>
            </w:pPr>
          </w:p>
          <w:p w14:paraId="1958DF0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both"/>
              <w:textAlignment w:val="center"/>
              <w:outlineLvl w:val="9"/>
              <w:rPr>
                <w:rFonts w:hint="eastAsia" w:ascii="仿宋_GB2312" w:hAnsi="仿宋_GB2312" w:eastAsia="仿宋_GB2312" w:cs="仿宋_GB2312"/>
                <w:b w:val="0"/>
                <w:bCs w:val="0"/>
                <w:color w:val="auto"/>
                <w:kern w:val="0"/>
                <w:sz w:val="24"/>
                <w:szCs w:val="24"/>
                <w:lang w:val="en-US" w:eastAsia="zh-CN" w:bidi="ar-SA"/>
              </w:rPr>
            </w:pPr>
          </w:p>
          <w:p w14:paraId="24ED007C">
            <w:pPr>
              <w:spacing w:line="24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1.市场监管总局《检验检测机构质认定评审准则》 2023年第21号第十条，第十一条，第十二条。</w:t>
            </w:r>
          </w:p>
          <w:p w14:paraId="4F55DA84">
            <w:pPr>
              <w:spacing w:line="24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2.“水利部关于水利工程甲级质量检测单位资质认定有关事项的公告”2023年第18号附件2。</w:t>
            </w:r>
          </w:p>
          <w:p w14:paraId="360D341C">
            <w:pPr>
              <w:numPr>
                <w:ilvl w:val="0"/>
                <w:numId w:val="0"/>
              </w:numPr>
              <w:spacing w:line="240" w:lineRule="exact"/>
              <w:jc w:val="both"/>
              <w:rPr>
                <w:rFonts w:hint="eastAsia" w:ascii="仿宋_GB2312" w:hAnsi="仿宋_GB2312" w:eastAsia="仿宋_GB2312" w:cs="仿宋_GB2312"/>
                <w:b w:val="0"/>
                <w:bCs w:val="0"/>
                <w:kern w:val="2"/>
                <w:sz w:val="21"/>
                <w:szCs w:val="21"/>
                <w:highlight w:val="none"/>
                <w:lang w:val="en-US" w:eastAsia="zh-CN" w:bidi="ar-SA"/>
              </w:rPr>
            </w:pPr>
          </w:p>
        </w:tc>
        <w:tc>
          <w:tcPr>
            <w:tcW w:w="1525" w:type="dxa"/>
            <w:shd w:val="clear" w:color="auto" w:fill="auto"/>
            <w:vAlign w:val="center"/>
          </w:tcPr>
          <w:p w14:paraId="17A5F42E">
            <w:pPr>
              <w:spacing w:line="240" w:lineRule="exact"/>
              <w:jc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按期整改完成</w:t>
            </w:r>
          </w:p>
        </w:tc>
      </w:tr>
      <w:tr w14:paraId="25CC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1" w:type="dxa"/>
            <w:shd w:val="clear" w:color="auto" w:fill="auto"/>
            <w:vAlign w:val="center"/>
          </w:tcPr>
          <w:p w14:paraId="23FE0960">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 w:val="21"/>
                <w:szCs w:val="21"/>
                <w:lang w:val="en-US" w:eastAsia="zh-CN" w:bidi="ar-SA"/>
              </w:rPr>
              <w:t>6</w:t>
            </w:r>
          </w:p>
        </w:tc>
        <w:tc>
          <w:tcPr>
            <w:tcW w:w="1449" w:type="dxa"/>
            <w:shd w:val="clear" w:color="auto" w:fill="auto"/>
            <w:vAlign w:val="center"/>
          </w:tcPr>
          <w:p w14:paraId="60F29ADF">
            <w:pPr>
              <w:widowControl/>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福建省特种设备检测研究院</w:t>
            </w:r>
          </w:p>
        </w:tc>
        <w:tc>
          <w:tcPr>
            <w:tcW w:w="1215" w:type="dxa"/>
            <w:shd w:val="clear" w:color="auto" w:fill="auto"/>
            <w:vAlign w:val="center"/>
          </w:tcPr>
          <w:p w14:paraId="296F667C">
            <w:pPr>
              <w:widowControl/>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金属结构类</w:t>
            </w:r>
          </w:p>
        </w:tc>
        <w:tc>
          <w:tcPr>
            <w:tcW w:w="4160" w:type="dxa"/>
            <w:shd w:val="clear" w:color="auto" w:fill="auto"/>
            <w:vAlign w:val="top"/>
          </w:tcPr>
          <w:p w14:paraId="000830B2">
            <w:pPr>
              <w:numPr>
                <w:ilvl w:val="0"/>
                <w:numId w:val="0"/>
              </w:numPr>
              <w:spacing w:line="240" w:lineRule="exact"/>
              <w:ind w:leftChars="0"/>
              <w:jc w:val="both"/>
              <w:rPr>
                <w:rFonts w:hint="eastAsia" w:ascii="仿宋_GB2312" w:hAnsi="仿宋_GB2312" w:eastAsia="仿宋_GB2312" w:cs="仿宋_GB2312"/>
                <w:b w:val="0"/>
                <w:bCs w:val="0"/>
                <w:kern w:val="2"/>
                <w:sz w:val="21"/>
                <w:szCs w:val="21"/>
                <w:highlight w:val="none"/>
                <w:lang w:val="en-US" w:eastAsia="zh-CN" w:bidi="ar-SA"/>
              </w:rPr>
            </w:pPr>
          </w:p>
          <w:p w14:paraId="6AB0F412">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kern w:val="2"/>
                <w:sz w:val="21"/>
                <w:szCs w:val="21"/>
                <w:highlight w:val="none"/>
                <w:lang w:val="en-US" w:eastAsia="zh-CN" w:bidi="ar-SA"/>
              </w:rPr>
              <w:t>.技术负责人未办理变更手续。</w:t>
            </w:r>
          </w:p>
          <w:p w14:paraId="51D7B8F5">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2.超声波测厚仪（管理编号：GXA0039）校准结果未按规范确认。</w:t>
            </w:r>
          </w:p>
          <w:p w14:paraId="69AE01AF">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3.全站仪（管理编号：JDA0399）检定证书已过期。</w:t>
            </w:r>
          </w:p>
          <w:p w14:paraId="516E3CCA">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4.技术文件查新、评审记录表（2025年9月27日）中SL 105-2012、SL 582-2007标准已过期。</w:t>
            </w:r>
          </w:p>
          <w:p w14:paraId="1D6A8443">
            <w:pPr>
              <w:spacing w:line="240" w:lineRule="exact"/>
              <w:ind w:firstLine="420" w:firstLineChars="20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5.报告编号GJ2023WJK01299腐蚀检测记录无原始厚度记录，仅有平均值。</w:t>
            </w:r>
          </w:p>
          <w:p w14:paraId="5755C161">
            <w:pPr>
              <w:numPr>
                <w:ilvl w:val="0"/>
                <w:numId w:val="0"/>
              </w:numPr>
              <w:spacing w:line="240" w:lineRule="exact"/>
              <w:jc w:val="both"/>
              <w:rPr>
                <w:rFonts w:hint="eastAsia" w:ascii="仿宋_GB2312" w:hAnsi="仿宋_GB2312" w:eastAsia="仿宋_GB2312" w:cs="仿宋_GB2312"/>
                <w:b w:val="0"/>
                <w:bCs w:val="0"/>
                <w:kern w:val="2"/>
                <w:sz w:val="21"/>
                <w:szCs w:val="21"/>
                <w:lang w:val="en-US" w:eastAsia="zh-CN" w:bidi="ar-SA"/>
              </w:rPr>
            </w:pPr>
          </w:p>
        </w:tc>
        <w:tc>
          <w:tcPr>
            <w:tcW w:w="1465" w:type="dxa"/>
            <w:shd w:val="clear" w:color="auto" w:fill="auto"/>
            <w:vAlign w:val="top"/>
          </w:tcPr>
          <w:p w14:paraId="3C866000">
            <w:pPr>
              <w:numPr>
                <w:ilvl w:val="0"/>
                <w:numId w:val="0"/>
              </w:num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40FF6904">
            <w:pPr>
              <w:numPr>
                <w:ilvl w:val="0"/>
                <w:numId w:val="0"/>
              </w:numPr>
              <w:spacing w:line="240" w:lineRule="exact"/>
              <w:jc w:val="both"/>
              <w:rPr>
                <w:rFonts w:hint="eastAsia" w:ascii="仿宋_GB2312" w:hAnsi="仿宋_GB2312" w:eastAsia="仿宋_GB2312" w:cs="仿宋_GB2312"/>
                <w:b w:val="0"/>
                <w:bCs w:val="0"/>
                <w:color w:val="auto"/>
                <w:kern w:val="0"/>
                <w:sz w:val="21"/>
                <w:szCs w:val="21"/>
                <w:lang w:val="en-US" w:eastAsia="zh-CN"/>
              </w:rPr>
            </w:pPr>
          </w:p>
          <w:p w14:paraId="365444F9">
            <w:pPr>
              <w:numPr>
                <w:ilvl w:val="0"/>
                <w:numId w:val="0"/>
              </w:numPr>
              <w:spacing w:line="240" w:lineRule="exact"/>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限期整改一个月。整改不到位或逾期未整改的，依法依规实施处理。</w:t>
            </w:r>
          </w:p>
        </w:tc>
        <w:tc>
          <w:tcPr>
            <w:tcW w:w="4325" w:type="dxa"/>
            <w:shd w:val="clear" w:color="auto" w:fill="auto"/>
            <w:vAlign w:val="top"/>
          </w:tcPr>
          <w:p w14:paraId="1E69DFBB">
            <w:pPr>
              <w:spacing w:line="240" w:lineRule="exact"/>
              <w:ind w:firstLine="480" w:firstLineChars="200"/>
              <w:jc w:val="left"/>
              <w:rPr>
                <w:rFonts w:hint="eastAsia" w:ascii="仿宋_GB2312" w:hAnsi="仿宋_GB2312" w:eastAsia="仿宋_GB2312" w:cs="仿宋_GB2312"/>
                <w:b w:val="0"/>
                <w:bCs w:val="0"/>
                <w:color w:val="auto"/>
                <w:kern w:val="0"/>
                <w:sz w:val="24"/>
                <w:szCs w:val="24"/>
                <w:lang w:val="en-US" w:eastAsia="zh-CN"/>
              </w:rPr>
            </w:pPr>
          </w:p>
          <w:p w14:paraId="54C77822">
            <w:pPr>
              <w:spacing w:line="240" w:lineRule="exact"/>
              <w:ind w:firstLine="480" w:firstLineChars="200"/>
              <w:jc w:val="left"/>
              <w:rPr>
                <w:rFonts w:hint="eastAsia" w:ascii="仿宋_GB2312" w:hAnsi="仿宋_GB2312" w:eastAsia="仿宋_GB2312" w:cs="仿宋_GB2312"/>
                <w:b w:val="0"/>
                <w:bCs w:val="0"/>
                <w:color w:val="auto"/>
                <w:kern w:val="0"/>
                <w:sz w:val="24"/>
                <w:szCs w:val="24"/>
                <w:lang w:val="en-US" w:eastAsia="zh-CN"/>
              </w:rPr>
            </w:pPr>
          </w:p>
          <w:p w14:paraId="3E361B2B">
            <w:pPr>
              <w:spacing w:line="240" w:lineRule="exact"/>
              <w:jc w:val="left"/>
              <w:rPr>
                <w:rFonts w:hint="eastAsia" w:ascii="仿宋_GB2312" w:hAnsi="仿宋_GB2312" w:eastAsia="仿宋_GB2312" w:cs="仿宋_GB2312"/>
                <w:b w:val="0"/>
                <w:bCs w:val="0"/>
                <w:kern w:val="2"/>
                <w:sz w:val="21"/>
                <w:szCs w:val="21"/>
                <w:highlight w:val="none"/>
                <w:lang w:val="en-US" w:eastAsia="zh" w:bidi="ar-SA"/>
                <w:woUserID w:val="1"/>
              </w:rPr>
            </w:pPr>
            <w:r>
              <w:rPr>
                <w:rFonts w:hint="eastAsia" w:ascii="仿宋_GB2312" w:hAnsi="仿宋_GB2312" w:eastAsia="仿宋_GB2312" w:cs="仿宋_GB2312"/>
                <w:b w:val="0"/>
                <w:bCs w:val="0"/>
                <w:kern w:val="2"/>
                <w:sz w:val="21"/>
                <w:szCs w:val="21"/>
                <w:highlight w:val="none"/>
                <w:lang w:val="en-US" w:eastAsia="zh-CN" w:bidi="ar-SA"/>
              </w:rPr>
              <w:t>1.《水利工程质量检测管理规定》（水利部令第36号）第十条</w:t>
            </w:r>
            <w:r>
              <w:rPr>
                <w:rFonts w:hint="eastAsia" w:ascii="仿宋_GB2312" w:hAnsi="仿宋_GB2312" w:eastAsia="仿宋_GB2312" w:cs="仿宋_GB2312"/>
                <w:b w:val="0"/>
                <w:bCs w:val="0"/>
                <w:kern w:val="2"/>
                <w:sz w:val="21"/>
                <w:szCs w:val="21"/>
                <w:highlight w:val="none"/>
                <w:lang w:val="en-US" w:eastAsia="zh" w:bidi="ar-SA"/>
                <w:woUserID w:val="1"/>
              </w:rPr>
              <w:t>。</w:t>
            </w:r>
          </w:p>
          <w:p w14:paraId="0FCE64FD">
            <w:pPr>
              <w:spacing w:line="240" w:lineRule="exact"/>
              <w:jc w:val="left"/>
              <w:rPr>
                <w:rFonts w:hint="eastAsia" w:ascii="仿宋_GB2312" w:hAnsi="仿宋_GB2312" w:eastAsia="仿宋_GB2312" w:cs="仿宋_GB2312"/>
                <w:b w:val="0"/>
                <w:bCs w:val="0"/>
                <w:kern w:val="2"/>
                <w:sz w:val="21"/>
                <w:szCs w:val="21"/>
                <w:highlight w:val="none"/>
                <w:lang w:val="en-US" w:eastAsia="zh" w:bidi="ar-SA"/>
                <w:woUserID w:val="1"/>
              </w:rPr>
            </w:pPr>
            <w:r>
              <w:rPr>
                <w:rFonts w:hint="eastAsia" w:ascii="仿宋_GB2312" w:hAnsi="仿宋_GB2312" w:eastAsia="仿宋_GB2312" w:cs="仿宋_GB2312"/>
                <w:b w:val="0"/>
                <w:bCs w:val="0"/>
                <w:kern w:val="2"/>
                <w:sz w:val="21"/>
                <w:szCs w:val="21"/>
                <w:highlight w:val="none"/>
                <w:lang w:val="en-US" w:eastAsia="zh-CN" w:bidi="ar-SA"/>
              </w:rPr>
              <w:t>2.市场监管总局关于发布《检验检测机构资质认定评审准则》的公告（2023年第21号）第十一条第（二）款、第十二条第（一）和（七）款</w:t>
            </w:r>
            <w:r>
              <w:rPr>
                <w:rFonts w:hint="eastAsia" w:ascii="仿宋_GB2312" w:hAnsi="仿宋_GB2312" w:eastAsia="仿宋_GB2312" w:cs="仿宋_GB2312"/>
                <w:b w:val="0"/>
                <w:bCs w:val="0"/>
                <w:kern w:val="2"/>
                <w:sz w:val="21"/>
                <w:szCs w:val="21"/>
                <w:highlight w:val="none"/>
                <w:lang w:val="en-US" w:eastAsia="zh" w:bidi="ar-SA"/>
                <w:woUserID w:val="1"/>
              </w:rPr>
              <w:t>。</w:t>
            </w:r>
            <w:bookmarkStart w:id="0" w:name="_GoBack"/>
            <w:bookmarkEnd w:id="0"/>
          </w:p>
          <w:p w14:paraId="4A1391A9">
            <w:pPr>
              <w:numPr>
                <w:ilvl w:val="0"/>
                <w:numId w:val="0"/>
              </w:numPr>
              <w:spacing w:line="240" w:lineRule="exact"/>
              <w:jc w:val="both"/>
              <w:rPr>
                <w:rFonts w:hint="eastAsia" w:ascii="仿宋_GB2312" w:hAnsi="仿宋_GB2312" w:eastAsia="仿宋_GB2312" w:cs="仿宋_GB2312"/>
                <w:b w:val="0"/>
                <w:bCs w:val="0"/>
                <w:kern w:val="2"/>
                <w:sz w:val="21"/>
                <w:szCs w:val="21"/>
                <w:lang w:val="en-US" w:eastAsia="zh-CN" w:bidi="ar-SA"/>
              </w:rPr>
            </w:pPr>
          </w:p>
        </w:tc>
        <w:tc>
          <w:tcPr>
            <w:tcW w:w="1525" w:type="dxa"/>
            <w:shd w:val="clear" w:color="auto" w:fill="auto"/>
            <w:vAlign w:val="center"/>
          </w:tcPr>
          <w:p w14:paraId="78C59091">
            <w:pPr>
              <w:spacing w:line="240" w:lineRule="exact"/>
              <w:jc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按期整改完成</w:t>
            </w:r>
          </w:p>
        </w:tc>
      </w:tr>
    </w:tbl>
    <w:p w14:paraId="5EE0EEFC">
      <w:pPr>
        <w:rPr>
          <w:rFonts w:hint="eastAsia" w:ascii="仿宋" w:hAnsi="仿宋" w:eastAsia="仿宋" w:cs="仿宋"/>
          <w:b/>
          <w:bCs/>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3CE05"/>
    <w:multiLevelType w:val="singleLevel"/>
    <w:tmpl w:val="0E93CE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JiODVhYzUxNGI1MGVjNzQzNzU4MDk2ZmY0ZmQifQ=="/>
  </w:docVars>
  <w:rsids>
    <w:rsidRoot w:val="65206146"/>
    <w:rsid w:val="04DB3277"/>
    <w:rsid w:val="0E2B4249"/>
    <w:rsid w:val="143C3459"/>
    <w:rsid w:val="14655DED"/>
    <w:rsid w:val="19924EC5"/>
    <w:rsid w:val="1C62032F"/>
    <w:rsid w:val="20DE6903"/>
    <w:rsid w:val="2626787B"/>
    <w:rsid w:val="264103A5"/>
    <w:rsid w:val="29A36D13"/>
    <w:rsid w:val="2E731B6D"/>
    <w:rsid w:val="2F7ED13D"/>
    <w:rsid w:val="30814BA1"/>
    <w:rsid w:val="30A0215A"/>
    <w:rsid w:val="37C07113"/>
    <w:rsid w:val="38B8100E"/>
    <w:rsid w:val="3992794E"/>
    <w:rsid w:val="40381597"/>
    <w:rsid w:val="42333557"/>
    <w:rsid w:val="424C7A58"/>
    <w:rsid w:val="432F53AF"/>
    <w:rsid w:val="46694581"/>
    <w:rsid w:val="47D32B62"/>
    <w:rsid w:val="49925783"/>
    <w:rsid w:val="4E3F0067"/>
    <w:rsid w:val="4EE8499D"/>
    <w:rsid w:val="543551C5"/>
    <w:rsid w:val="55640868"/>
    <w:rsid w:val="57E109FF"/>
    <w:rsid w:val="63FA412A"/>
    <w:rsid w:val="65206146"/>
    <w:rsid w:val="654943D9"/>
    <w:rsid w:val="66BA1235"/>
    <w:rsid w:val="67EEA79E"/>
    <w:rsid w:val="67FE2A02"/>
    <w:rsid w:val="6C1C0317"/>
    <w:rsid w:val="6DEF564C"/>
    <w:rsid w:val="6F9528E9"/>
    <w:rsid w:val="77DB2237"/>
    <w:rsid w:val="7A7B6D7B"/>
    <w:rsid w:val="7DFFADBA"/>
    <w:rsid w:val="7F96D46F"/>
    <w:rsid w:val="CBBFF384"/>
    <w:rsid w:val="D4BF5D9B"/>
    <w:rsid w:val="D8679C6B"/>
    <w:rsid w:val="DEF6B7E2"/>
    <w:rsid w:val="FBEBFF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440" w:lineRule="exact"/>
      <w:ind w:firstLine="200" w:firstLineChars="200"/>
    </w:pPr>
  </w:style>
  <w:style w:type="paragraph" w:styleId="4">
    <w:name w:val="footer"/>
    <w:qFormat/>
    <w:uiPriority w:val="0"/>
    <w:pPr>
      <w:widowControl w:val="0"/>
      <w:tabs>
        <w:tab w:val="center" w:pos="4153"/>
        <w:tab w:val="right" w:pos="8306"/>
      </w:tabs>
      <w:snapToGrid w:val="0"/>
      <w:spacing w:line="560" w:lineRule="exact"/>
      <w:ind w:firstLine="200" w:firstLineChars="200"/>
    </w:pPr>
    <w:rPr>
      <w:rFonts w:ascii="Calibri" w:hAnsi="Calibri" w:eastAsia="宋体" w:cs="Times New Roman"/>
      <w:kern w:val="2"/>
      <w:sz w:val="18"/>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Normal Indent1"/>
    <w:basedOn w:val="1"/>
    <w:qFormat/>
    <w:uiPriority w:val="0"/>
    <w:pPr>
      <w:spacing w:line="440" w:lineRule="exact"/>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693</Words>
  <Characters>796</Characters>
  <Lines>0</Lines>
  <Paragraphs>0</Paragraphs>
  <TotalTime>2</TotalTime>
  <ScaleCrop>false</ScaleCrop>
  <LinksUpToDate>false</LinksUpToDate>
  <CharactersWithSpaces>797</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2025-01-01T03:02:00Z</dcterms:created>
  <dc:creator>Administrator</dc:creator>
  <cp:lastModifiedBy>webword_3365135646</cp:lastModifiedBy>
  <cp:lastPrinted>2025-01-08T03:33:00Z</cp:lastPrinted>
  <dcterms:modified xsi:type="dcterms:W3CDTF">2026-01-12T15:05:26Z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1016335539B230A5369D6469DDC9C3AB_43</vt:lpwstr>
  </property>
  <property fmtid="{D5CDD505-2E9C-101B-9397-08002B2CF9AE}" pid="4" name="KSOTemplateDocerSaveRecord">
    <vt:lpwstr>eyJoZGlkIjoiZjhmMzk2NzFkOTNmYjZlM2UyNDU3NTcxN2YxOTVkMTYifQ==</vt:lpwstr>
  </property>
</Properties>
</file>