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36"/>
          <w:szCs w:val="36"/>
        </w:rPr>
      </w:pPr>
      <w:bookmarkStart w:id="0" w:name="OLE_LINK2"/>
      <w:bookmarkStart w:id="1" w:name="OLE_LINK6"/>
      <w:r>
        <w:rPr>
          <w:rFonts w:hint="eastAsia" w:ascii="方正小标宋简体" w:hAnsi="方正小标宋简体" w:eastAsia="方正小标宋简体" w:cs="方正小标宋简体"/>
          <w:sz w:val="36"/>
          <w:szCs w:val="36"/>
        </w:rPr>
        <w:t>2026年省数字水安视频监视系统运维服务需求调查报告、省水资源管理系统运维服务需求调查报告，2025年实施的取用水计量档案及在线监测采集服务实施方案、水资源站点升级改造服务实施方案等编制项目</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服务</w:t>
      </w:r>
      <w:bookmarkEnd w:id="0"/>
      <w:r>
        <w:rPr>
          <w:rFonts w:hint="eastAsia" w:ascii="方正小标宋简体" w:hAnsi="方正小标宋简体" w:eastAsia="方正小标宋简体" w:cs="方正小标宋简体"/>
          <w:sz w:val="36"/>
          <w:szCs w:val="36"/>
        </w:rPr>
        <w:t>内容与要求</w:t>
      </w:r>
    </w:p>
    <w:bookmarkEnd w:id="1"/>
    <w:p>
      <w:pPr>
        <w:spacing w:line="560" w:lineRule="exact"/>
        <w:jc w:val="center"/>
        <w:rPr>
          <w:rFonts w:ascii="方正小标宋简体" w:hAnsi="黑体" w:eastAsia="方正小标宋简体"/>
          <w:sz w:val="28"/>
          <w:szCs w:val="28"/>
        </w:rPr>
      </w:pPr>
    </w:p>
    <w:p>
      <w:pPr>
        <w:spacing w:line="560" w:lineRule="exact"/>
        <w:ind w:firstLine="643" w:firstLineChars="200"/>
        <w:rPr>
          <w:rFonts w:ascii="仿宋_GB2312" w:hAnsi="仿宋_GB2312" w:eastAsia="仿宋_GB2312"/>
          <w:b/>
          <w:bCs/>
          <w:sz w:val="32"/>
          <w:szCs w:val="32"/>
        </w:rPr>
      </w:pPr>
      <w:bookmarkStart w:id="2" w:name="_Hlk103267877"/>
      <w:bookmarkStart w:id="3" w:name="_Hlk103268739"/>
      <w:r>
        <w:rPr>
          <w:rFonts w:hint="eastAsia" w:ascii="仿宋_GB2312" w:hAnsi="仿宋_GB2312" w:eastAsia="仿宋_GB2312"/>
          <w:b/>
          <w:bCs/>
          <w:sz w:val="32"/>
          <w:szCs w:val="32"/>
        </w:rPr>
        <w:t>一、项目目标</w:t>
      </w:r>
    </w:p>
    <w:p>
      <w:pPr>
        <w:spacing w:line="560" w:lineRule="exact"/>
        <w:ind w:firstLine="640" w:firstLineChars="200"/>
        <w:rPr>
          <w:rFonts w:ascii="仿宋_GB2312" w:hAnsi="仿宋_GB2312" w:eastAsia="仿宋_GB2312"/>
          <w:sz w:val="32"/>
          <w:szCs w:val="32"/>
        </w:rPr>
      </w:pPr>
      <w:bookmarkStart w:id="4" w:name="OLE_LINK4"/>
      <w:r>
        <w:rPr>
          <w:rFonts w:hint="eastAsia" w:ascii="仿宋_GB2312" w:hAnsi="仿宋_GB2312" w:eastAsia="仿宋_GB2312"/>
          <w:sz w:val="32"/>
          <w:szCs w:val="32"/>
        </w:rPr>
        <w:t>为做好2026年省水安、水资源系统运维服务，取用水计量档案及在线监测采集服务、水资源站点升级改造服务</w:t>
      </w:r>
      <w:bookmarkEnd w:id="4"/>
      <w:r>
        <w:rPr>
          <w:rFonts w:hint="eastAsia" w:ascii="仿宋_GB2312" w:hAnsi="仿宋_GB2312" w:eastAsia="仿宋_GB2312"/>
          <w:sz w:val="32"/>
          <w:szCs w:val="32"/>
        </w:rPr>
        <w:t>，拟开展2026年省水安、水资源系统运维服务需求调查报告和取用水计量档案及在线监测采集服务、水资源站点升级改造服务实施方案等编制工作。</w:t>
      </w:r>
    </w:p>
    <w:p>
      <w:pPr>
        <w:spacing w:line="560" w:lineRule="exact"/>
        <w:ind w:firstLine="640"/>
        <w:rPr>
          <w:rFonts w:ascii="仿宋_GB2312" w:hAnsi="仿宋_GB2312" w:eastAsia="仿宋_GB2312"/>
          <w:b/>
          <w:bCs/>
          <w:sz w:val="32"/>
          <w:szCs w:val="32"/>
        </w:rPr>
      </w:pPr>
      <w:r>
        <w:rPr>
          <w:rFonts w:hint="eastAsia" w:ascii="仿宋_GB2312" w:hAnsi="仿宋_GB2312" w:eastAsia="仿宋_GB2312"/>
          <w:b/>
          <w:bCs/>
          <w:sz w:val="32"/>
          <w:szCs w:val="32"/>
        </w:rPr>
        <w:t>二、咨询设计服务内容及要求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1.咨询设计服务成果：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w:t>
      </w:r>
      <w:r>
        <w:rPr>
          <w:rFonts w:ascii="仿宋_GB2312" w:hAnsi="仿宋_GB2312" w:eastAsia="仿宋_GB2312"/>
          <w:sz w:val="32"/>
          <w:szCs w:val="32"/>
        </w:rPr>
        <w:t>202</w:t>
      </w:r>
      <w:r>
        <w:rPr>
          <w:rFonts w:hint="eastAsia" w:ascii="仿宋_GB2312" w:hAnsi="仿宋_GB2312" w:eastAsia="仿宋_GB2312"/>
          <w:sz w:val="32"/>
          <w:szCs w:val="32"/>
        </w:rPr>
        <w:t>6</w:t>
      </w:r>
      <w:r>
        <w:rPr>
          <w:rFonts w:ascii="仿宋_GB2312" w:hAnsi="仿宋_GB2312" w:eastAsia="仿宋_GB2312"/>
          <w:sz w:val="32"/>
          <w:szCs w:val="32"/>
        </w:rPr>
        <w:t>年度福建省数字水安视频监视系统（一期）运维服务</w:t>
      </w:r>
      <w:r>
        <w:rPr>
          <w:rFonts w:hint="eastAsia" w:ascii="仿宋_GB2312" w:hAnsi="仿宋_GB2312" w:eastAsia="仿宋_GB2312"/>
          <w:sz w:val="32"/>
          <w:szCs w:val="32"/>
        </w:rPr>
        <w:t>需求调查报告编制；</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202</w:t>
      </w:r>
      <w:r>
        <w:rPr>
          <w:rFonts w:hint="eastAsia" w:ascii="仿宋_GB2312" w:hAnsi="仿宋_GB2312" w:eastAsia="仿宋_GB2312"/>
          <w:sz w:val="32"/>
          <w:szCs w:val="32"/>
        </w:rPr>
        <w:t>6福建省水资源管理系统年度运维服务需求调查报告编制；</w:t>
      </w:r>
    </w:p>
    <w:p>
      <w:pPr>
        <w:numPr>
          <w:ilvl w:val="0"/>
          <w:numId w:val="1"/>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取用水计量档案及在线监测采集服务实施方案编制；</w:t>
      </w:r>
    </w:p>
    <w:p>
      <w:pPr>
        <w:numPr>
          <w:ilvl w:val="0"/>
          <w:numId w:val="1"/>
        </w:num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水资源站点升级改造服务实施方案编制。</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2.方案编制原则要求</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需求调查报告、实施方案应遵循国家水利部及省大数据管理局相关政策法规，按有关标准、规范进行编制。同时遵循如下原则：</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（1）坚持顶层设计，强化建设统筹。强化顶层设计，加强项目统筹管理和共建共享共用，推进全面、协调发展。加强数据资源集中汇聚与融合共享，避免重复建设。</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（2）坚持围绕国家信息化重大战略部署，结合水利电子政务发展需求以及大数据建设任务，实现电子政务建设、水利大数据智能化建设同谋划、同部署、同促进、同发展，提升全省水利电子政务水平。</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按照项目建设目标和建设单位应用需求，遵循国家信息系统项目建设和设计的标准和规范，采用先进、科学、合理的适合本项目特点的项目管理技巧和设计手段，对项目进行科学、规范的监督、管理、控制和协调。</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4.按照《福建省省级政务信息化项目管理办法（试行）》要求编写相应需求调查报告、实施方案。</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w:t>
      </w:r>
      <w:r>
        <w:rPr>
          <w:rFonts w:hint="eastAsia" w:ascii="仿宋_GB2312" w:hAnsi="仿宋_GB2312" w:eastAsia="仿宋_GB2312"/>
          <w:sz w:val="32"/>
          <w:szCs w:val="32"/>
          <w:lang w:eastAsia="zh-CN"/>
        </w:rPr>
        <w:t>供应商</w:t>
      </w:r>
      <w:r>
        <w:rPr>
          <w:rFonts w:hint="eastAsia" w:ascii="仿宋_GB2312" w:hAnsi="仿宋_GB2312" w:eastAsia="仿宋_GB2312"/>
          <w:sz w:val="32"/>
          <w:szCs w:val="32"/>
        </w:rPr>
        <w:t>应认真进行调查和研究，取得可靠的基本资料。需求调查报告、实施方案，技术先进，密切结合实际，节约投资，注重经济效益，报告应有分析、论证、明确的结论和意见，文字简明扼要，图表完整清晰。</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对建设内容设计提出方案建议与理解分析，应充分考虑采购人已经建设完成或准备建设的内容，并同时与采购人其他相关工程项目协调配合，遵循“资源共享、互联互通”原则，尽可能利用政府已有资源，避免重复建设，节约投资。</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现状调研要求：须对本次项目建设的相关现状进行充分调研，根据本项目的建设内容，对相关的信息化建设现状进行调研，全面掌握相关部门信息系统建设及应用情况，包括但不限于制定调研计划，制作各类调研表格材料，收集整理项目相关资料，开展应用需求调研与沟通交流等。</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8.需求分析要求：须针对项目现状以及存在问题进行项目的需求分析工作。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9.方案设计思路要求：在完成现状调研、需求分析的基础上，提出项目报告总体思路。</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10.投资概算编制要求：根据</w:t>
      </w:r>
      <w:r>
        <w:rPr>
          <w:rFonts w:hint="eastAsia" w:ascii="仿宋_GB2312" w:hAnsi="Times New Roman" w:eastAsia="仿宋_GB2312" w:cs="Times New Roman"/>
          <w:snapToGrid w:val="0"/>
          <w:kern w:val="0"/>
          <w:sz w:val="32"/>
          <w:szCs w:val="32"/>
        </w:rPr>
        <w:t>《工程勘察设计收费标准（计价格〔2002〕10号）》、</w:t>
      </w:r>
      <w:r>
        <w:rPr>
          <w:rFonts w:hint="eastAsia" w:ascii="仿宋_GB2312" w:hAnsi="仿宋_GB2312" w:eastAsia="仿宋_GB2312"/>
          <w:sz w:val="32"/>
          <w:szCs w:val="32"/>
        </w:rPr>
        <w:t>“数字福建”等相关标准，进行项目投资概算编制，并根据需要提供相关询价文件。</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11.应深刻理解本项目工作内容，原则要求、时间要求、复杂程度，充分评估本项目相关要求、政策调整造成的不可预见费用。</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12.供应商应设立咨询小组（至少</w:t>
      </w:r>
      <w:r>
        <w:rPr>
          <w:rFonts w:ascii="仿宋_GB2312" w:hAnsi="仿宋_GB2312" w:eastAsia="仿宋_GB2312"/>
          <w:sz w:val="32"/>
          <w:szCs w:val="32"/>
        </w:rPr>
        <w:t>3</w:t>
      </w:r>
      <w:r>
        <w:rPr>
          <w:rFonts w:hint="eastAsia" w:ascii="仿宋_GB2312" w:hAnsi="仿宋_GB2312" w:eastAsia="仿宋_GB2312"/>
          <w:sz w:val="32"/>
          <w:szCs w:val="32"/>
        </w:rPr>
        <w:t>人），包括但不限于项目负责人1名，项目咨询分析人员1名，项目造价（预算）咨询师1名。以上各岗位人员不得重复，</w:t>
      </w:r>
      <w:r>
        <w:rPr>
          <w:rFonts w:ascii="仿宋_GB2312" w:hAnsi="宋体" w:eastAsia="仿宋_GB2312" w:cs="仿宋_GB2312"/>
          <w:color w:val="000000"/>
          <w:sz w:val="32"/>
          <w:szCs w:val="32"/>
        </w:rPr>
        <w:t>人员构成须与响应文件完全一致，并在合同签订时予以确认。项目执行期间，项目负责人及方案主编等关键岗位人员不得更换，以确保项目实施的连续性和稳定性。</w:t>
      </w:r>
      <w:r>
        <w:rPr>
          <w:rFonts w:hint="eastAsia" w:ascii="仿宋_GB2312" w:hAnsi="仿宋_GB2312" w:eastAsia="仿宋_GB2312"/>
          <w:b/>
          <w:bCs/>
          <w:sz w:val="32"/>
          <w:szCs w:val="32"/>
        </w:rPr>
        <w:t>提供报价单位在投标截止时间前六个月（不含投标截止日期当月）中任意一个月为其缴纳社保的证明材料或提交人员符合要求的承诺函并</w:t>
      </w:r>
      <w:r>
        <w:rPr>
          <w:rFonts w:hint="eastAsia" w:ascii="仿宋_GB2312" w:hAnsi="仿宋_GB2312" w:eastAsia="仿宋_GB2312"/>
          <w:b/>
          <w:bCs/>
          <w:sz w:val="32"/>
          <w:szCs w:val="32"/>
          <w:lang w:eastAsia="zh-CN"/>
        </w:rPr>
        <w:t>在</w:t>
      </w:r>
      <w:r>
        <w:rPr>
          <w:rFonts w:hint="eastAsia" w:ascii="仿宋_GB2312" w:hAnsi="仿宋_GB2312" w:eastAsia="仿宋_GB2312"/>
          <w:b/>
          <w:bCs/>
          <w:sz w:val="32"/>
          <w:szCs w:val="32"/>
        </w:rPr>
        <w:t>中标后5个工作日内提交证件材料验证（承诺函格式自拟）。</w:t>
      </w:r>
    </w:p>
    <w:p>
      <w:pPr>
        <w:numPr>
          <w:ilvl w:val="-1"/>
          <w:numId w:val="0"/>
        </w:num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13.</w:t>
      </w:r>
      <w:r>
        <w:rPr>
          <w:rFonts w:hint="eastAsia" w:ascii="仿宋_GB2312" w:hAnsi="仿宋_GB2312" w:eastAsia="仿宋_GB2312"/>
          <w:sz w:val="32"/>
          <w:szCs w:val="32"/>
        </w:rPr>
        <w:t>项目评审要求：供应商提交的项目需求调查报告、实施方案要通过采购人组织的专家论证会、评审会等，并根据专家意见在约定时间内修改完善项目需求调查报告、实施方案。</w:t>
      </w:r>
    </w:p>
    <w:p>
      <w:pPr>
        <w:numPr>
          <w:ilvl w:val="-1"/>
          <w:numId w:val="0"/>
        </w:numPr>
        <w:spacing w:line="560" w:lineRule="exact"/>
        <w:ind w:firstLine="640" w:firstLineChars="200"/>
        <w:rPr>
          <w:rFonts w:hint="eastAsia" w:ascii="仿宋_GB2312" w:hAnsi="仿宋_GB2312" w:eastAsia="仿宋_GB2312"/>
          <w:b/>
          <w:bCs/>
          <w:sz w:val="32"/>
          <w:szCs w:val="32"/>
        </w:rPr>
      </w:pPr>
      <w:r>
        <w:rPr>
          <w:rFonts w:hint="eastAsia" w:ascii="仿宋_GB2312" w:hAnsi="仿宋_GB2312" w:eastAsia="仿宋_GB2312"/>
          <w:sz w:val="32"/>
          <w:szCs w:val="32"/>
          <w:lang w:val="en-US" w:eastAsia="zh-CN"/>
        </w:rPr>
        <w:t>14.</w:t>
      </w:r>
      <w:r>
        <w:rPr>
          <w:rFonts w:hint="eastAsia" w:ascii="仿宋_GB2312" w:hAnsi="仿宋_GB2312" w:eastAsia="仿宋_GB2312"/>
          <w:sz w:val="32"/>
          <w:szCs w:val="32"/>
        </w:rPr>
        <w:t>供应商应承诺，项目服务期到期后一年内，应按采购人要求在采购范围内免费配合成果文档修订。</w:t>
      </w:r>
      <w:r>
        <w:rPr>
          <w:rFonts w:hint="eastAsia" w:ascii="仿宋_GB2312" w:hAnsi="仿宋_GB2312" w:eastAsia="仿宋_GB2312"/>
          <w:b/>
          <w:bCs/>
          <w:sz w:val="32"/>
          <w:szCs w:val="32"/>
          <w:lang w:eastAsia="zh-CN"/>
        </w:rPr>
        <w:t>（</w:t>
      </w:r>
      <w:r>
        <w:rPr>
          <w:rFonts w:hint="eastAsia" w:ascii="仿宋_GB2312" w:hAnsi="仿宋_GB2312" w:eastAsia="仿宋_GB2312"/>
          <w:b/>
          <w:bCs/>
          <w:sz w:val="32"/>
          <w:szCs w:val="32"/>
        </w:rPr>
        <w:t>供应商提供承诺函。</w:t>
      </w:r>
      <w:r>
        <w:rPr>
          <w:rFonts w:hint="eastAsia" w:ascii="仿宋_GB2312" w:hAnsi="仿宋_GB2312" w:eastAsia="仿宋_GB2312"/>
          <w:b/>
          <w:bCs/>
          <w:sz w:val="32"/>
          <w:szCs w:val="32"/>
          <w:lang w:eastAsia="zh-CN"/>
        </w:rPr>
        <w:t>）</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.因供应商自身原因导致项目无法顺利进行的，采购人有权解除合同，并有权对供应商进行相应的处罚。供应商任何行为造成采购人或者他人的损失,均由供应商承担相应的赔偿责任。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b/>
          <w:bCs/>
          <w:sz w:val="32"/>
          <w:szCs w:val="32"/>
          <w:lang w:eastAsia="zh-CN"/>
        </w:rPr>
      </w:pPr>
      <w:r>
        <w:rPr>
          <w:rFonts w:hint="eastAsia" w:ascii="仿宋_GB2312" w:hAnsi="仿宋_GB2312" w:eastAsia="仿宋_GB2312"/>
          <w:b/>
          <w:bCs/>
          <w:sz w:val="32"/>
          <w:szCs w:val="32"/>
        </w:rPr>
        <w:t>三、</w:t>
      </w:r>
      <w:r>
        <w:rPr>
          <w:rFonts w:hint="eastAsia" w:ascii="仿宋_GB2312" w:hAnsi="仿宋_GB2312" w:eastAsia="仿宋_GB2312"/>
          <w:b/>
          <w:bCs/>
          <w:sz w:val="32"/>
          <w:szCs w:val="32"/>
          <w:lang w:eastAsia="zh-CN"/>
        </w:rPr>
        <w:t>服务</w:t>
      </w:r>
      <w:r>
        <w:rPr>
          <w:rFonts w:hint="eastAsia" w:ascii="仿宋_GB2312" w:hAnsi="仿宋_GB2312" w:eastAsia="仿宋_GB2312"/>
          <w:b/>
          <w:bCs/>
          <w:sz w:val="32"/>
          <w:szCs w:val="32"/>
        </w:rPr>
        <w:t>时间</w:t>
      </w:r>
      <w:r>
        <w:rPr>
          <w:rFonts w:hint="eastAsia" w:ascii="仿宋_GB2312" w:hAnsi="仿宋_GB2312" w:eastAsia="仿宋_GB2312"/>
          <w:b/>
          <w:bCs/>
          <w:sz w:val="32"/>
          <w:szCs w:val="32"/>
          <w:lang w:eastAsia="zh-CN"/>
        </w:rPr>
        <w:t>及验收要求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为满足采购人技术和服务要求，</w:t>
      </w:r>
      <w:bookmarkStart w:id="5" w:name="OLE_LINK7"/>
      <w:r>
        <w:rPr>
          <w:rFonts w:hint="eastAsia" w:ascii="仿宋_GB2312" w:eastAsia="仿宋_GB2312" w:cs="仿宋_GB2312"/>
          <w:color w:val="000000"/>
          <w:sz w:val="32"/>
          <w:szCs w:val="32"/>
        </w:rPr>
        <w:t>同时保证服务质量。</w:t>
      </w:r>
      <w:r>
        <w:rPr>
          <w:rFonts w:hint="eastAsia" w:ascii="仿宋_GB2312" w:eastAsia="仿宋_GB2312" w:cs="仿宋_GB2312"/>
          <w:color w:val="000000"/>
          <w:sz w:val="32"/>
          <w:szCs w:val="32"/>
          <w:lang w:eastAsia="zh-CN"/>
        </w:rPr>
        <w:t>供应商</w:t>
      </w:r>
      <w:r>
        <w:rPr>
          <w:rFonts w:hint="eastAsia" w:ascii="仿宋_GB2312" w:eastAsia="仿宋_GB2312" w:cs="仿宋_GB2312"/>
          <w:color w:val="000000"/>
          <w:sz w:val="32"/>
          <w:szCs w:val="32"/>
        </w:rPr>
        <w:t>应自合同签订后</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个工作日内提交</w:t>
      </w:r>
      <w:bookmarkStart w:id="6" w:name="OLE_LINK1"/>
      <w:r>
        <w:rPr>
          <w:rFonts w:hint="eastAsia" w:ascii="仿宋_GB2312" w:eastAsia="仿宋_GB2312" w:cs="仿宋_GB2312"/>
          <w:color w:val="000000"/>
          <w:sz w:val="32"/>
          <w:szCs w:val="32"/>
          <w:lang w:eastAsia="zh-CN"/>
        </w:rPr>
        <w:t>编制</w:t>
      </w:r>
      <w:r>
        <w:rPr>
          <w:rFonts w:hint="eastAsia" w:ascii="仿宋_GB2312" w:eastAsia="仿宋_GB2312" w:cs="仿宋_GB2312"/>
          <w:color w:val="000000"/>
          <w:sz w:val="32"/>
          <w:szCs w:val="32"/>
        </w:rPr>
        <w:t>服务实施</w:t>
      </w:r>
      <w:r>
        <w:rPr>
          <w:rFonts w:hint="eastAsia" w:ascii="仿宋_GB2312" w:eastAsia="仿宋_GB2312" w:cs="仿宋_GB2312"/>
          <w:color w:val="000000"/>
          <w:sz w:val="32"/>
          <w:szCs w:val="32"/>
          <w:lang w:eastAsia="zh-CN"/>
        </w:rPr>
        <w:t>计划</w:t>
      </w:r>
      <w:bookmarkEnd w:id="6"/>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合同签订</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个月内，</w:t>
      </w:r>
      <w:r>
        <w:rPr>
          <w:rFonts w:hint="eastAsia" w:ascii="仿宋_GB2312" w:eastAsia="仿宋_GB2312" w:cs="仿宋_GB2312"/>
          <w:color w:val="000000"/>
          <w:sz w:val="32"/>
          <w:szCs w:val="32"/>
          <w:lang w:eastAsia="zh-CN"/>
        </w:rPr>
        <w:t>完成</w:t>
      </w:r>
      <w:r>
        <w:rPr>
          <w:rFonts w:hint="eastAsia" w:ascii="仿宋_GB2312" w:eastAsia="仿宋_GB2312" w:cs="仿宋_GB2312"/>
          <w:color w:val="000000"/>
          <w:sz w:val="32"/>
          <w:szCs w:val="32"/>
        </w:rPr>
        <w:t>验收。</w:t>
      </w:r>
      <w:bookmarkEnd w:id="5"/>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eastAsia="zh-CN"/>
        </w:rPr>
        <w:t>验收方式：专家评审。</w:t>
      </w:r>
    </w:p>
    <w:bookmarkEnd w:id="2"/>
    <w:bookmarkEnd w:id="3"/>
    <w:p>
      <w:pPr>
        <w:pStyle w:val="4"/>
        <w:ind w:firstLine="643" w:firstLineChars="200"/>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四、付款方式</w:t>
      </w:r>
    </w:p>
    <w:tbl>
      <w:tblPr>
        <w:tblStyle w:val="7"/>
        <w:tblW w:w="5000"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26"/>
        <w:gridCol w:w="1679"/>
        <w:gridCol w:w="553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3" w:hRule="atLeast"/>
          <w:tblHeader/>
          <w:tblCellSpacing w:w="0" w:type="dxa"/>
          <w:jc w:val="center"/>
        </w:trPr>
        <w:tc>
          <w:tcPr>
            <w:tcW w:w="1126" w:type="dxa"/>
            <w:tcBorders>
              <w:top w:val="outset" w:color="auto" w:sz="6" w:space="0"/>
              <w:left w:val="outset" w:color="auto" w:sz="6" w:space="0"/>
              <w:bottom w:val="outset" w:color="auto" w:sz="6" w:space="0"/>
              <w:right w:val="outset" w:color="auto" w:sz="6" w:space="0"/>
            </w:tcBorders>
            <w:vAlign w:val="center"/>
          </w:tcPr>
          <w:p>
            <w:pPr>
              <w:spacing w:line="500" w:lineRule="exact"/>
              <w:jc w:val="center"/>
              <w:rPr>
                <w:rFonts w:ascii="仿宋_GB2312" w:hAnsi="仿宋_GB2312" w:eastAsia="仿宋_GB2312"/>
                <w:b/>
                <w:bCs/>
                <w:sz w:val="24"/>
                <w:szCs w:val="24"/>
              </w:rPr>
            </w:pPr>
            <w:r>
              <w:rPr>
                <w:rFonts w:hint="eastAsia" w:ascii="仿宋_GB2312" w:hAnsi="仿宋_GB2312" w:eastAsia="仿宋_GB2312"/>
                <w:b/>
                <w:bCs/>
                <w:sz w:val="24"/>
                <w:szCs w:val="24"/>
              </w:rPr>
              <w:t>支付期次</w:t>
            </w:r>
          </w:p>
        </w:tc>
        <w:tc>
          <w:tcPr>
            <w:tcW w:w="1679" w:type="dxa"/>
            <w:tcBorders>
              <w:top w:val="outset" w:color="auto" w:sz="6" w:space="0"/>
              <w:left w:val="outset" w:color="auto" w:sz="6" w:space="0"/>
              <w:bottom w:val="outset" w:color="auto" w:sz="6" w:space="0"/>
              <w:right w:val="outset" w:color="auto" w:sz="6" w:space="0"/>
            </w:tcBorders>
            <w:vAlign w:val="center"/>
          </w:tcPr>
          <w:p>
            <w:pPr>
              <w:spacing w:line="500" w:lineRule="exact"/>
              <w:jc w:val="center"/>
              <w:rPr>
                <w:rFonts w:ascii="仿宋_GB2312" w:hAnsi="仿宋_GB2312" w:eastAsia="仿宋_GB2312"/>
                <w:b/>
                <w:bCs/>
                <w:sz w:val="24"/>
                <w:szCs w:val="24"/>
              </w:rPr>
            </w:pPr>
            <w:r>
              <w:rPr>
                <w:rFonts w:hint="eastAsia" w:ascii="仿宋_GB2312" w:hAnsi="仿宋_GB2312" w:eastAsia="仿宋_GB2312"/>
                <w:b/>
                <w:bCs/>
                <w:sz w:val="24"/>
                <w:szCs w:val="24"/>
              </w:rPr>
              <w:t>支付比例(%)</w:t>
            </w:r>
          </w:p>
        </w:tc>
        <w:tc>
          <w:tcPr>
            <w:tcW w:w="5531" w:type="dxa"/>
            <w:tcBorders>
              <w:top w:val="outset" w:color="auto" w:sz="6" w:space="0"/>
              <w:left w:val="outset" w:color="auto" w:sz="6" w:space="0"/>
              <w:bottom w:val="outset" w:color="auto" w:sz="6" w:space="0"/>
              <w:right w:val="outset" w:color="auto" w:sz="6" w:space="0"/>
            </w:tcBorders>
            <w:vAlign w:val="center"/>
          </w:tcPr>
          <w:p>
            <w:pPr>
              <w:spacing w:line="500" w:lineRule="exact"/>
              <w:jc w:val="center"/>
              <w:rPr>
                <w:rFonts w:ascii="仿宋_GB2312" w:hAnsi="仿宋_GB2312" w:eastAsia="仿宋_GB2312"/>
                <w:b/>
                <w:bCs/>
                <w:sz w:val="24"/>
                <w:szCs w:val="24"/>
              </w:rPr>
            </w:pPr>
            <w:r>
              <w:rPr>
                <w:rFonts w:hint="eastAsia" w:ascii="仿宋_GB2312" w:hAnsi="仿宋_GB2312" w:eastAsia="仿宋_GB2312"/>
                <w:b/>
                <w:bCs/>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26" w:type="dxa"/>
            <w:tcBorders>
              <w:top w:val="outset" w:color="auto" w:sz="6" w:space="0"/>
              <w:left w:val="outset" w:color="auto" w:sz="6" w:space="0"/>
              <w:bottom w:val="outset" w:color="auto" w:sz="6" w:space="0"/>
              <w:right w:val="outset" w:color="auto" w:sz="6" w:space="0"/>
            </w:tcBorders>
            <w:vAlign w:val="center"/>
          </w:tcPr>
          <w:p>
            <w:pPr>
              <w:spacing w:line="50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rPr>
              <w:t>1</w:t>
            </w:r>
          </w:p>
        </w:tc>
        <w:tc>
          <w:tcPr>
            <w:tcW w:w="1679" w:type="dxa"/>
            <w:tcBorders>
              <w:top w:val="outset" w:color="auto" w:sz="6" w:space="0"/>
              <w:left w:val="outset" w:color="auto" w:sz="6" w:space="0"/>
              <w:bottom w:val="outset" w:color="auto" w:sz="6" w:space="0"/>
              <w:right w:val="outset" w:color="auto" w:sz="6" w:space="0"/>
            </w:tcBorders>
            <w:vAlign w:val="center"/>
          </w:tcPr>
          <w:p>
            <w:pPr>
              <w:spacing w:line="500" w:lineRule="exact"/>
              <w:jc w:val="center"/>
              <w:rPr>
                <w:rFonts w:ascii="仿宋_GB2312" w:hAnsi="仿宋_GB2312" w:eastAsia="仿宋_GB2312"/>
                <w:sz w:val="24"/>
                <w:szCs w:val="24"/>
              </w:rPr>
            </w:pPr>
            <w:r>
              <w:rPr>
                <w:rFonts w:hint="eastAsia" w:ascii="仿宋_GB2312" w:hAnsi="仿宋_GB2312" w:eastAsia="仿宋_GB2312"/>
                <w:sz w:val="24"/>
                <w:szCs w:val="24"/>
              </w:rPr>
              <w:t>40</w:t>
            </w:r>
          </w:p>
        </w:tc>
        <w:tc>
          <w:tcPr>
            <w:tcW w:w="5531" w:type="dxa"/>
            <w:tcBorders>
              <w:top w:val="outset" w:color="auto" w:sz="6" w:space="0"/>
              <w:left w:val="outset" w:color="auto" w:sz="6" w:space="0"/>
              <w:bottom w:val="outset" w:color="auto" w:sz="6" w:space="0"/>
              <w:right w:val="outset" w:color="auto" w:sz="6" w:space="0"/>
            </w:tcBorders>
            <w:vAlign w:val="center"/>
          </w:tcPr>
          <w:p>
            <w:pPr>
              <w:spacing w:line="50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rPr>
              <w:t>合同签订后，供应商</w:t>
            </w:r>
            <w:r>
              <w:rPr>
                <w:rFonts w:hint="eastAsia" w:ascii="仿宋_GB2312" w:hAnsi="仿宋_GB2312" w:eastAsia="仿宋_GB2312"/>
                <w:sz w:val="24"/>
                <w:szCs w:val="24"/>
                <w:lang w:val="en-US" w:eastAsia="zh-CN"/>
              </w:rPr>
              <w:t>人员到位，且</w:t>
            </w:r>
            <w:r>
              <w:rPr>
                <w:rFonts w:hint="eastAsia" w:ascii="仿宋_GB2312" w:hAnsi="仿宋_GB2312" w:eastAsia="仿宋_GB2312"/>
                <w:sz w:val="24"/>
                <w:szCs w:val="24"/>
              </w:rPr>
              <w:t>在3个工作日内提交编制服务实施计划，符合采购人要求则进行首付款支付。成交供应商须开具款项等额正式税务发票。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26" w:type="dxa"/>
            <w:tcBorders>
              <w:top w:val="outset" w:color="auto" w:sz="6" w:space="0"/>
              <w:left w:val="outset" w:color="auto" w:sz="6" w:space="0"/>
              <w:bottom w:val="outset" w:color="auto" w:sz="6" w:space="0"/>
              <w:right w:val="outset" w:color="auto" w:sz="6" w:space="0"/>
            </w:tcBorders>
            <w:vAlign w:val="center"/>
          </w:tcPr>
          <w:p>
            <w:pPr>
              <w:spacing w:line="50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rPr>
              <w:t>2</w:t>
            </w:r>
          </w:p>
        </w:tc>
        <w:tc>
          <w:tcPr>
            <w:tcW w:w="1679" w:type="dxa"/>
            <w:tcBorders>
              <w:top w:val="outset" w:color="auto" w:sz="6" w:space="0"/>
              <w:left w:val="outset" w:color="auto" w:sz="6" w:space="0"/>
              <w:bottom w:val="outset" w:color="auto" w:sz="6" w:space="0"/>
              <w:right w:val="outset" w:color="auto" w:sz="6" w:space="0"/>
            </w:tcBorders>
            <w:vAlign w:val="center"/>
          </w:tcPr>
          <w:p>
            <w:pPr>
              <w:spacing w:line="500" w:lineRule="exact"/>
              <w:jc w:val="center"/>
              <w:rPr>
                <w:rFonts w:ascii="仿宋_GB2312" w:hAnsi="仿宋_GB2312" w:eastAsia="仿宋_GB2312"/>
                <w:sz w:val="24"/>
                <w:szCs w:val="24"/>
              </w:rPr>
            </w:pPr>
            <w:r>
              <w:rPr>
                <w:rFonts w:hint="eastAsia" w:ascii="仿宋_GB2312" w:hAnsi="仿宋_GB2312" w:eastAsia="仿宋_GB2312"/>
                <w:sz w:val="24"/>
                <w:szCs w:val="24"/>
              </w:rPr>
              <w:t>60</w:t>
            </w:r>
          </w:p>
        </w:tc>
        <w:tc>
          <w:tcPr>
            <w:tcW w:w="5531" w:type="dxa"/>
            <w:tcBorders>
              <w:top w:val="outset" w:color="auto" w:sz="6" w:space="0"/>
              <w:left w:val="outset" w:color="auto" w:sz="6" w:space="0"/>
              <w:bottom w:val="outset" w:color="auto" w:sz="6" w:space="0"/>
              <w:right w:val="outset" w:color="auto" w:sz="6" w:space="0"/>
            </w:tcBorders>
            <w:vAlign w:val="center"/>
          </w:tcPr>
          <w:p>
            <w:pPr>
              <w:spacing w:line="500" w:lineRule="exact"/>
              <w:ind w:firstLine="480" w:firstLineChars="200"/>
              <w:rPr>
                <w:rFonts w:ascii="仿宋_GB2312" w:hAnsi="仿宋_GB2312" w:eastAsia="仿宋_GB2312"/>
                <w:sz w:val="24"/>
                <w:szCs w:val="24"/>
              </w:rPr>
            </w:pPr>
            <w:r>
              <w:rPr>
                <w:rFonts w:hint="eastAsia" w:ascii="仿宋_GB2312" w:hAnsi="仿宋_GB2312" w:eastAsia="仿宋_GB2312"/>
                <w:sz w:val="24"/>
                <w:szCs w:val="24"/>
              </w:rPr>
              <w:t>需求调查报告、实施方案全部通过</w:t>
            </w:r>
            <w:r>
              <w:rPr>
                <w:rFonts w:hint="eastAsia" w:ascii="仿宋_GB2312" w:hAnsi="仿宋_GB2312" w:eastAsia="仿宋_GB2312"/>
                <w:sz w:val="24"/>
                <w:szCs w:val="24"/>
                <w:lang w:eastAsia="zh-CN"/>
              </w:rPr>
              <w:t>专家</w:t>
            </w:r>
            <w:r>
              <w:rPr>
                <w:rFonts w:hint="eastAsia" w:ascii="仿宋_GB2312" w:hAnsi="仿宋_GB2312" w:eastAsia="仿宋_GB2312"/>
                <w:sz w:val="24"/>
                <w:szCs w:val="24"/>
              </w:rPr>
              <w:t>评审</w:t>
            </w:r>
            <w:r>
              <w:rPr>
                <w:rFonts w:hint="eastAsia" w:ascii="仿宋_GB2312" w:hAnsi="仿宋_GB2312" w:eastAsia="仿宋_GB2312"/>
                <w:sz w:val="24"/>
                <w:szCs w:val="24"/>
                <w:lang w:eastAsia="zh-CN"/>
              </w:rPr>
              <w:t>后，进行尾款支付。</w:t>
            </w:r>
            <w:r>
              <w:rPr>
                <w:rFonts w:hint="eastAsia" w:ascii="仿宋_GB2312" w:hAnsi="仿宋_GB2312" w:eastAsia="仿宋_GB2312"/>
                <w:sz w:val="24"/>
                <w:szCs w:val="24"/>
              </w:rPr>
              <w:t>成交供应商须开具款项等额正式税务发票。</w:t>
            </w:r>
          </w:p>
        </w:tc>
      </w:tr>
    </w:tbl>
    <w:p>
      <w:bookmarkStart w:id="7" w:name="_GoBack"/>
      <w:bookmarkEnd w:id="7"/>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451620"/>
    </w:sdtPr>
    <w:sdtContent>
      <w:p>
        <w:pPr>
          <w:pStyle w:val="5"/>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0D307"/>
    <w:multiLevelType w:val="singleLevel"/>
    <w:tmpl w:val="31B0D30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E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next w:val="2"/>
    <w:qFormat/>
    <w:uiPriority w:val="0"/>
    <w:pPr>
      <w:spacing w:after="120" w:line="480" w:lineRule="auto"/>
    </w:pPr>
  </w:style>
  <w:style w:type="paragraph" w:styleId="5">
    <w:name w:val="footer"/>
    <w:basedOn w:val="1"/>
    <w:unhideWhenUsed/>
    <w:qFormat/>
    <w:uiPriority w:val="99"/>
    <w:pPr>
      <w:tabs>
        <w:tab w:val="center" w:pos="4153"/>
        <w:tab w:val="right" w:pos="8306"/>
      </w:tabs>
      <w:snapToGrid w:val="0"/>
      <w:spacing w:line="360" w:lineRule="auto"/>
      <w:ind w:firstLine="480" w:firstLineChars="200"/>
      <w:jc w:val="left"/>
    </w:pPr>
    <w:rPr>
      <w:rFonts w:ascii="Times New Roman" w:hAnsi="Times New Roman" w:eastAsia="宋体" w:cs="Times New Roman"/>
      <w:sz w:val="18"/>
      <w:szCs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2025-05-13T08:12:02Z</dcterms:created>
  <dc:creator>Administrator</dc:creator>
  <cp:lastModifiedBy>Administrator</cp:lastModifiedBy>
  <dcterms:modified xsi:type="dcterms:W3CDTF">2025-05-13T08:12:27Z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9432891CB19948B69F36F0D31F6911AF</vt:lpwstr>
  </property>
</Properties>
</file>