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z w:val="84"/>
          <w:szCs w:val="84"/>
          <w:highlight w:val="none"/>
        </w:rPr>
      </w:pPr>
    </w:p>
    <w:p>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84"/>
          <w:szCs w:val="84"/>
          <w:highlight w:val="none"/>
        </w:rPr>
      </w:pPr>
      <w:r>
        <w:rPr>
          <w:rFonts w:hint="eastAsia" w:ascii="宋体" w:hAnsi="宋体" w:eastAsia="宋体" w:cs="宋体"/>
          <w:b/>
          <w:color w:val="auto"/>
          <w:sz w:val="84"/>
          <w:szCs w:val="84"/>
          <w:highlight w:val="none"/>
        </w:rPr>
        <w:t>福建省政府采购</w:t>
      </w:r>
    </w:p>
    <w:p>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84"/>
          <w:szCs w:val="84"/>
          <w:highlight w:val="none"/>
        </w:rPr>
      </w:pPr>
      <w:r>
        <w:rPr>
          <w:rFonts w:hint="eastAsia" w:ascii="宋体" w:hAnsi="宋体" w:eastAsia="宋体" w:cs="宋体"/>
          <w:b/>
          <w:color w:val="auto"/>
          <w:sz w:val="84"/>
          <w:szCs w:val="84"/>
          <w:highlight w:val="none"/>
        </w:rPr>
        <w:t>货物和服务项目</w:t>
      </w:r>
    </w:p>
    <w:p>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84"/>
          <w:szCs w:val="84"/>
          <w:highlight w:val="none"/>
        </w:rPr>
        <w:t>公开</w:t>
      </w:r>
      <w:r>
        <w:rPr>
          <w:rFonts w:hint="eastAsia" w:ascii="宋体" w:hAnsi="宋体" w:eastAsia="宋体" w:cs="宋体"/>
          <w:b/>
          <w:color w:val="auto"/>
          <w:sz w:val="84"/>
          <w:szCs w:val="84"/>
          <w:highlight w:val="none"/>
          <w:lang w:eastAsia="zh-CN"/>
        </w:rPr>
        <w:t>招标文件</w:t>
      </w: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rPr>
      </w:pP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rPr>
      </w:pP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rPr>
      </w:pP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rPr>
      </w:pP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z w:val="32"/>
          <w:szCs w:val="32"/>
          <w:highlight w:val="none"/>
          <w:u w:val="single"/>
          <w:lang w:eastAsia="zh-CN"/>
        </w:rPr>
        <w:t>小流域风险隐患调查与成果应用</w:t>
      </w: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备案编号：</w:t>
      </w:r>
      <w:r>
        <w:rPr>
          <w:rFonts w:hint="eastAsia" w:ascii="宋体" w:hAnsi="宋体" w:eastAsia="宋体" w:cs="宋体"/>
          <w:b/>
          <w:color w:val="auto"/>
          <w:sz w:val="32"/>
          <w:szCs w:val="32"/>
          <w:highlight w:val="none"/>
          <w:u w:val="single"/>
          <w:lang w:val="en-US" w:eastAsia="zh-CN"/>
        </w:rPr>
        <w:t>CGXM-2025-350001-02519[2025]04948</w:t>
      </w: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u w:val="single"/>
          <w:lang w:val="en-US" w:eastAsia="zh-CN"/>
        </w:rPr>
        <w:t>[350001]ZZD[GK]2025002</w:t>
      </w: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购</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人：</w:t>
      </w:r>
      <w:r>
        <w:rPr>
          <w:rFonts w:hint="eastAsia" w:ascii="宋体" w:hAnsi="宋体" w:eastAsia="宋体" w:cs="宋体"/>
          <w:b/>
          <w:color w:val="auto"/>
          <w:sz w:val="32"/>
          <w:szCs w:val="32"/>
          <w:highlight w:val="none"/>
          <w:u w:val="single"/>
          <w:lang w:eastAsia="zh-CN"/>
        </w:rPr>
        <w:t>福建省水文水资源勘测中心</w:t>
      </w: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rPr>
      </w:pP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rPr>
      </w:pP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rPr>
      </w:pP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rPr>
      </w:pP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代理机构：</w:t>
      </w:r>
      <w:r>
        <w:rPr>
          <w:rFonts w:hint="eastAsia" w:ascii="宋体" w:hAnsi="宋体" w:eastAsia="宋体" w:cs="宋体"/>
          <w:b/>
          <w:color w:val="auto"/>
          <w:sz w:val="32"/>
          <w:szCs w:val="32"/>
          <w:highlight w:val="none"/>
          <w:u w:val="single"/>
          <w:lang w:eastAsia="zh-CN"/>
        </w:rPr>
        <w:t>卓知项目管理顾问有限公司</w:t>
      </w:r>
    </w:p>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2107" w:firstLineChars="656"/>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编制时间：</w:t>
      </w:r>
      <w:r>
        <w:rPr>
          <w:rFonts w:hint="eastAsia" w:ascii="宋体" w:hAnsi="宋体" w:eastAsia="宋体" w:cs="宋体"/>
          <w:b/>
          <w:color w:val="auto"/>
          <w:sz w:val="32"/>
          <w:szCs w:val="32"/>
          <w:highlight w:val="none"/>
          <w:u w:val="single"/>
          <w:lang w:val="en-US" w:eastAsia="zh-CN"/>
        </w:rPr>
        <w:t xml:space="preserve"> 2025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lang w:val="en-US" w:eastAsia="zh-CN"/>
        </w:rPr>
        <w:t xml:space="preserve"> 08 </w:t>
      </w:r>
      <w:r>
        <w:rPr>
          <w:rFonts w:hint="eastAsia" w:ascii="宋体" w:hAnsi="宋体" w:eastAsia="宋体" w:cs="宋体"/>
          <w:b/>
          <w:color w:val="auto"/>
          <w:sz w:val="32"/>
          <w:szCs w:val="32"/>
          <w:highlight w:val="none"/>
        </w:rPr>
        <w:t>月</w:t>
      </w:r>
    </w:p>
    <w:p>
      <w:pPr>
        <w:keepNext w:val="0"/>
        <w:keepLines w:val="0"/>
        <w:pageBreakBefore w:val="0"/>
        <w:widowControl w:val="0"/>
        <w:kinsoku/>
        <w:overflowPunct/>
        <w:topLinePunct w:val="0"/>
        <w:autoSpaceDE/>
        <w:bidi w:val="0"/>
        <w:adjustRightInd/>
        <w:textAlignment w:val="auto"/>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br w:type="page"/>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目  录</w:t>
      </w:r>
    </w:p>
    <w:p>
      <w:pPr>
        <w:pStyle w:val="11"/>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fldChar w:fldCharType="begin"/>
      </w:r>
      <w:r>
        <w:rPr>
          <w:rFonts w:hint="eastAsia" w:ascii="宋体" w:hAnsi="宋体" w:eastAsia="宋体" w:cs="宋体"/>
          <w:b/>
          <w:color w:val="auto"/>
          <w:sz w:val="24"/>
          <w:szCs w:val="24"/>
          <w:highlight w:val="none"/>
          <w:lang w:val="en-US" w:eastAsia="zh-CN"/>
        </w:rPr>
        <w:instrText xml:space="preserve">TOC \o "1-2" \h \u </w:instrText>
      </w:r>
      <w:r>
        <w:rPr>
          <w:rFonts w:hint="eastAsia" w:ascii="宋体" w:hAnsi="宋体" w:eastAsia="宋体" w:cs="宋体"/>
          <w:b/>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_Toc15473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rPr>
        <w:t>第一章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投标邀请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_Toc15473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rPr>
        <w:fldChar w:fldCharType="end"/>
      </w:r>
    </w:p>
    <w:p>
      <w:pPr>
        <w:pStyle w:val="11"/>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_Toc4740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rPr>
        <w:t>第二章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须知前附表</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_Toc4740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rPr>
        <w:fldChar w:fldCharType="end"/>
      </w:r>
    </w:p>
    <w:p>
      <w:pPr>
        <w:pStyle w:val="11"/>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_Toc12486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rPr>
        <w:t>第三章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_Toc12486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_Toc7033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一、总则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_Toc7033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_Toc22054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二、</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_Toc5186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三、招标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_Toc5186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_Toc13369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四、投标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_Toc13369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_Toc5985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五、开标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_Toc28402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六、中标与政府采购合同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_Toc28402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_Toc18066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七、询问、质疑与投诉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_Toc18066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_Toc16490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八、政府采购政策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_Toc15789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九、本项目的有关信息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_Toc32429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十、其他事项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1"/>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_Toc26047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rPr>
        <w:t>第四章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资格审查与评标</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_Toc26047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_Toc29958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rPr>
        <w:t>一、资格审查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2"/>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_Toc29098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val="0"/>
          <w:color w:val="auto"/>
          <w:sz w:val="24"/>
          <w:szCs w:val="24"/>
          <w:highlight w:val="none"/>
        </w:rPr>
        <w:t>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pPr>
        <w:pStyle w:val="11"/>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_Toc21637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rPr>
        <w:t>第五章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招标内容及要求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_Toc21637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50</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rPr>
        <w:fldChar w:fldCharType="end"/>
      </w:r>
    </w:p>
    <w:p>
      <w:pPr>
        <w:pStyle w:val="11"/>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_Toc22798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rPr>
        <w:t>第六章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政府采购合同</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_Toc22798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rPr>
        <w:fldChar w:fldCharType="end"/>
      </w:r>
    </w:p>
    <w:p>
      <w:pPr>
        <w:pStyle w:val="11"/>
        <w:keepNext w:val="0"/>
        <w:keepLines w:val="0"/>
        <w:pageBreakBefore w:val="0"/>
        <w:widowControl w:val="0"/>
        <w:tabs>
          <w:tab w:val="right" w:leader="hyphen" w:pos="912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_Toc2899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rPr>
        <w:t>第七章</w:t>
      </w:r>
      <w:r>
        <w:rPr>
          <w:rFonts w:hint="eastAsia" w:ascii="宋体" w:hAnsi="宋体" w:eastAsia="宋体" w:cs="宋体"/>
          <w:b/>
          <w:bCs/>
          <w:color w:val="auto"/>
          <w:sz w:val="24"/>
          <w:szCs w:val="24"/>
          <w:highlight w:val="none"/>
          <w:lang w:val="en-US" w:eastAsia="zh-CN"/>
        </w:rPr>
        <w:t xml:space="preserve">  电子</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_Toc2899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rPr>
        <w:fldChar w:fldCharType="end"/>
      </w:r>
    </w:p>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color w:val="auto"/>
          <w:sz w:val="44"/>
          <w:szCs w:val="44"/>
          <w:highlight w:val="none"/>
          <w:lang w:val="en-US" w:eastAsia="zh-CN"/>
        </w:rPr>
      </w:pPr>
      <w:r>
        <w:rPr>
          <w:rFonts w:hint="eastAsia" w:ascii="宋体" w:hAnsi="宋体" w:eastAsia="宋体" w:cs="宋体"/>
          <w:color w:val="auto"/>
          <w:szCs w:val="24"/>
          <w:highlight w:val="none"/>
          <w:lang w:val="en-US" w:eastAsia="zh-CN"/>
        </w:rPr>
        <w:fldChar w:fldCharType="end"/>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宋体" w:hAnsi="宋体" w:eastAsia="宋体" w:cs="宋体"/>
          <w:b/>
          <w:color w:val="auto"/>
          <w:sz w:val="28"/>
          <w:szCs w:val="28"/>
          <w:highlight w:val="none"/>
        </w:rPr>
        <w:sectPr>
          <w:pgSz w:w="11906" w:h="16838"/>
          <w:pgMar w:top="1440" w:right="1400" w:bottom="1440" w:left="1400" w:header="851" w:footer="992" w:gutter="0"/>
          <w:cols w:space="425" w:num="1"/>
          <w:docGrid w:type="lines" w:linePitch="312" w:charSpace="0"/>
        </w:sectPr>
      </w:pP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宋体" w:hAnsi="宋体" w:eastAsia="宋体" w:cs="宋体"/>
          <w:color w:val="auto"/>
          <w:sz w:val="24"/>
          <w:szCs w:val="24"/>
          <w:highlight w:val="none"/>
        </w:rPr>
      </w:pPr>
      <w:bookmarkStart w:id="0" w:name="_Toc15473"/>
      <w:r>
        <w:rPr>
          <w:rFonts w:hint="eastAsia" w:ascii="宋体" w:hAnsi="宋体" w:eastAsia="宋体" w:cs="宋体"/>
          <w:b/>
          <w:color w:val="auto"/>
          <w:sz w:val="32"/>
          <w:szCs w:val="32"/>
          <w:highlight w:val="none"/>
        </w:rPr>
        <w:t>第一章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投标邀请</w:t>
      </w:r>
      <w:bookmarkEnd w:id="0"/>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卓知项目管理顾问有限公司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采用公开招标方式组织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小流域风险隐患调查与成果应用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的政府采购活动，现邀请供应商参加投标。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1、备案编号：</w:t>
      </w:r>
      <w:r>
        <w:rPr>
          <w:rFonts w:hint="eastAsia" w:ascii="宋体" w:hAnsi="宋体" w:eastAsia="宋体" w:cs="宋体"/>
          <w:b/>
          <w:color w:val="auto"/>
          <w:sz w:val="24"/>
          <w:szCs w:val="24"/>
          <w:highlight w:val="none"/>
          <w:lang w:eastAsia="zh-CN"/>
        </w:rPr>
        <w:t>CGXM-2025-350001-02519[2025]04948</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2、项目编号：</w:t>
      </w:r>
      <w:r>
        <w:rPr>
          <w:rFonts w:hint="eastAsia" w:ascii="宋体" w:hAnsi="宋体" w:eastAsia="宋体" w:cs="宋体"/>
          <w:b/>
          <w:color w:val="auto"/>
          <w:sz w:val="24"/>
          <w:szCs w:val="24"/>
          <w:highlight w:val="none"/>
          <w:lang w:eastAsia="zh-CN"/>
        </w:rPr>
        <w:t>[350001]ZZD[GK]2025002</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3、预算金额、最高限价：详见《采购标的一览表》。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4、招标内容及要求：详见《采购标的一览表》及招标文件第五章。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5、需要落实的政府采购政策</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w:t>
      </w:r>
      <w:r>
        <w:rPr>
          <w:rFonts w:hint="eastAsia" w:ascii="宋体" w:hAnsi="宋体" w:eastAsia="宋体" w:cs="宋体"/>
          <w:b w:val="0"/>
          <w:bCs/>
          <w:color w:val="auto"/>
          <w:sz w:val="24"/>
          <w:szCs w:val="24"/>
          <w:highlight w:val="none"/>
          <w:lang w:val="en-US" w:eastAsia="zh-CN"/>
        </w:rPr>
        <w:t>不适用</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w:t>
      </w:r>
      <w:r>
        <w:rPr>
          <w:rFonts w:hint="eastAsia" w:ascii="宋体" w:hAnsi="宋体" w:eastAsia="宋体" w:cs="宋体"/>
          <w:b w:val="0"/>
          <w:bCs/>
          <w:color w:val="auto"/>
          <w:sz w:val="24"/>
          <w:szCs w:val="24"/>
          <w:highlight w:val="none"/>
          <w:lang w:val="en-US" w:eastAsia="zh-CN"/>
        </w:rPr>
        <w:t>不适用</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w:t>
      </w:r>
      <w:r>
        <w:rPr>
          <w:rFonts w:hint="eastAsia" w:ascii="宋体" w:hAnsi="宋体" w:eastAsia="宋体" w:cs="宋体"/>
          <w:b w:val="0"/>
          <w:bCs/>
          <w:color w:val="auto"/>
          <w:sz w:val="24"/>
          <w:szCs w:val="24"/>
          <w:highlight w:val="none"/>
          <w:lang w:val="en-US" w:eastAsia="zh-CN"/>
        </w:rPr>
        <w:t>不适用</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采购包1：不专门面向中小企业采购</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6、投标人的资格要求</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法定条件：符合政府采购法第二十二条第一款规定的条件。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特定条件：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7"/>
        <w:gridCol w:w="71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5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资格审查要求概况</w:t>
            </w:r>
          </w:p>
        </w:tc>
        <w:tc>
          <w:tcPr>
            <w:tcW w:w="384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52" w:type="pct"/>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资格承诺函</w:t>
            </w:r>
          </w:p>
        </w:tc>
        <w:tc>
          <w:tcPr>
            <w:tcW w:w="3847" w:type="pct"/>
            <w:vAlign w:val="top"/>
          </w:tcPr>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本采购包允许投标人采用资格承诺制。采用资格承诺制的投标人，应当根据投标（响应）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w:t>
            </w:r>
          </w:p>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②采购项目有特殊资格要求的，投标人还应按要求提供相应的证明材料。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52" w:type="pct"/>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企业资质</w:t>
            </w:r>
          </w:p>
        </w:tc>
        <w:tc>
          <w:tcPr>
            <w:tcW w:w="7168" w:type="dxa"/>
            <w:vAlign w:val="top"/>
          </w:tcPr>
          <w:p>
            <w:pPr>
              <w:pStyle w:val="21"/>
              <w:widowControl w:val="0"/>
              <w:spacing w:line="5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应具备</w:t>
            </w:r>
            <w:r>
              <w:rPr>
                <w:rFonts w:ascii="宋体" w:hAnsi="宋体" w:eastAsia="宋体" w:cs="宋体"/>
                <w:color w:val="auto"/>
                <w:sz w:val="24"/>
                <w:szCs w:val="24"/>
                <w:highlight w:val="none"/>
                <w:lang w:eastAsia="zh-CN"/>
              </w:rPr>
              <w:t>有效的</w:t>
            </w:r>
            <w:r>
              <w:rPr>
                <w:rFonts w:hint="default" w:ascii="宋体" w:hAnsi="宋体" w:eastAsia="宋体" w:cs="宋体"/>
                <w:color w:val="auto"/>
                <w:sz w:val="24"/>
                <w:szCs w:val="24"/>
                <w:highlight w:val="none"/>
                <w:lang w:eastAsia="zh-CN"/>
              </w:rPr>
              <w:t>自然资源主管部门颁发的工程测量专业测绘乙级</w:t>
            </w:r>
            <w:r>
              <w:rPr>
                <w:rFonts w:hint="eastAsia" w:ascii="宋体" w:hAnsi="宋体" w:eastAsia="宋体" w:cs="宋体"/>
                <w:color w:val="auto"/>
                <w:sz w:val="24"/>
                <w:szCs w:val="24"/>
                <w:highlight w:val="none"/>
                <w:lang w:val="en-US" w:eastAsia="zh-CN"/>
              </w:rPr>
              <w:t>及以上</w:t>
            </w:r>
            <w:r>
              <w:rPr>
                <w:rFonts w:hint="default" w:ascii="宋体" w:hAnsi="宋体" w:eastAsia="宋体" w:cs="宋体"/>
                <w:color w:val="auto"/>
                <w:sz w:val="24"/>
                <w:szCs w:val="24"/>
                <w:highlight w:val="none"/>
                <w:lang w:eastAsia="zh-CN"/>
              </w:rPr>
              <w:t>资质，须提供有效证书复印件。</w:t>
            </w:r>
          </w:p>
          <w:p>
            <w:pPr>
              <w:pStyle w:val="21"/>
              <w:widowControl w:val="0"/>
              <w:spacing w:line="50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lang w:eastAsia="zh-CN"/>
              </w:rPr>
              <w:t>投标人应具备有效的建设行政主管部门核发的工程设计综合甲级或工程设计水利行业甲级</w:t>
            </w:r>
            <w:r>
              <w:rPr>
                <w:rFonts w:hint="default" w:ascii="宋体" w:hAnsi="宋体" w:eastAsia="宋体" w:cs="宋体"/>
                <w:color w:val="auto"/>
                <w:sz w:val="24"/>
                <w:szCs w:val="24"/>
                <w:highlight w:val="none"/>
                <w:lang w:eastAsia="zh-CN"/>
              </w:rPr>
              <w:t>资质，须提供有效证书复印件。</w:t>
            </w:r>
          </w:p>
        </w:tc>
      </w:tr>
    </w:tbl>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是否接受联合体投标：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采购包1：接受</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※根据上述资格要求，电子投标文件中应提交的“投标人的资格及资信证明文件”详见招标文件第四章。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7、招标文件的获取</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招标文件获取期限：详见招标公告或更正公告，若不一致，以更正公告为准。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在招标文件获取期限内，供应商应通过福建省政府采购网上公开信息系统的注册账号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免费注册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并获取招标文件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登陆福建省政府采购网上公开信息系统进行文件获取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，否则投标将被拒绝。</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获取地点及方式：注册账号后，通过福建省政府采购网上公开信息系统以下载方式获取。</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招标文件售价：0元。</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8、投标截止</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投标截止时间：详见招标公告或更正公告，若不一致，以更正公告为准。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投标人应在投标截止时间前按照福建省政府采购网上公开信息系统设定的操作流程将电子投标文件上传至福建省政府采购网上公开信息系统，否则投标将被拒绝。</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9、开标时间及地点</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10、公告期限</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招标公告的公告期限：自财政部和福建省财政厅指定的政府采购信息发布媒体最先发布公告之日起5个工作日。</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招标文件公告期限：招标文件随同招标公告一并发布，其公告期限与招标公告的公告期限保持一致。</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11、采</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购</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人：</w:t>
      </w:r>
      <w:r>
        <w:rPr>
          <w:rFonts w:hint="eastAsia" w:ascii="宋体" w:hAnsi="宋体" w:eastAsia="宋体" w:cs="宋体"/>
          <w:b/>
          <w:color w:val="auto"/>
          <w:sz w:val="24"/>
          <w:szCs w:val="24"/>
          <w:highlight w:val="none"/>
          <w:lang w:eastAsia="zh-CN"/>
        </w:rPr>
        <w:t>福建省水文水资源勘测中心</w:t>
      </w:r>
    </w:p>
    <w:p>
      <w:pPr>
        <w:pStyle w:val="21"/>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福州市鼓楼区东大路229号</w:t>
      </w:r>
    </w:p>
    <w:p>
      <w:pPr>
        <w:pStyle w:val="21"/>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编：</w:t>
      </w:r>
      <w:r>
        <w:rPr>
          <w:rFonts w:hint="eastAsia" w:ascii="宋体" w:hAnsi="宋体" w:eastAsia="宋体" w:cs="宋体"/>
          <w:color w:val="auto"/>
          <w:sz w:val="24"/>
          <w:szCs w:val="24"/>
          <w:highlight w:val="none"/>
          <w:lang w:eastAsia="zh-CN"/>
        </w:rPr>
        <w:t>350001</w:t>
      </w:r>
    </w:p>
    <w:p>
      <w:pPr>
        <w:pStyle w:val="21"/>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陈清勇</w:t>
      </w:r>
    </w:p>
    <w:p>
      <w:pPr>
        <w:pStyle w:val="21"/>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ascii="宋体" w:hAnsi="宋体" w:eastAsia="宋体" w:cs="宋体"/>
          <w:color w:val="auto"/>
          <w:sz w:val="24"/>
          <w:szCs w:val="24"/>
          <w:highlight w:val="none"/>
          <w:lang w:eastAsia="zh-CN"/>
        </w:rPr>
        <w:t>0591-87563921</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bCs w:val="0"/>
          <w:color w:val="auto"/>
          <w:sz w:val="24"/>
          <w:szCs w:val="24"/>
          <w:highlight w:val="none"/>
        </w:rPr>
        <w:t>12、代理机构：</w:t>
      </w:r>
      <w:r>
        <w:rPr>
          <w:rFonts w:hint="eastAsia" w:ascii="宋体" w:hAnsi="宋体" w:eastAsia="宋体" w:cs="宋体"/>
          <w:b/>
          <w:color w:val="auto"/>
          <w:sz w:val="24"/>
          <w:szCs w:val="24"/>
          <w:highlight w:val="none"/>
          <w:lang w:eastAsia="zh-CN"/>
        </w:rPr>
        <w:t>卓知项目管理顾问有限公司</w:t>
      </w:r>
    </w:p>
    <w:p>
      <w:pPr>
        <w:pStyle w:val="21"/>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福州市晋安区福新东路478号盛丰大厦3号楼四层</w:t>
      </w:r>
    </w:p>
    <w:p>
      <w:pPr>
        <w:pStyle w:val="21"/>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编：</w:t>
      </w:r>
      <w:r>
        <w:rPr>
          <w:rFonts w:hint="eastAsia" w:ascii="宋体" w:hAnsi="宋体" w:eastAsia="宋体" w:cs="宋体"/>
          <w:color w:val="auto"/>
          <w:spacing w:val="0"/>
          <w:sz w:val="24"/>
          <w:szCs w:val="24"/>
          <w:highlight w:val="none"/>
          <w:lang w:val="en-US" w:eastAsia="zh-CN"/>
        </w:rPr>
        <w:t>350014</w:t>
      </w:r>
    </w:p>
    <w:p>
      <w:pPr>
        <w:pStyle w:val="21"/>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outlineLvl w:val="9"/>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pacing w:val="0"/>
          <w:sz w:val="24"/>
          <w:szCs w:val="24"/>
          <w:highlight w:val="none"/>
          <w:u w:val="none"/>
          <w:lang w:eastAsia="zh-CN"/>
        </w:rPr>
        <w:t>罗滨、黄梦园</w:t>
      </w:r>
    </w:p>
    <w:p>
      <w:pPr>
        <w:pStyle w:val="21"/>
        <w:keepNext w:val="0"/>
        <w:keepLines w:val="0"/>
        <w:pageBreakBefore w:val="0"/>
        <w:widowControl w:val="0"/>
        <w:kinsoku/>
        <w:wordWrap/>
        <w:overflowPunct/>
        <w:topLinePunct w:val="0"/>
        <w:autoSpaceDE/>
        <w:autoSpaceDN/>
        <w:bidi w:val="0"/>
        <w:adjustRightInd/>
        <w:snapToGrid/>
        <w:spacing w:line="500" w:lineRule="exact"/>
        <w:ind w:firstLine="960" w:firstLineChars="4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0591-87301172、87933994</w:t>
      </w:r>
    </w:p>
    <w:p>
      <w:pPr>
        <w:pStyle w:val="7"/>
        <w:keepNext w:val="0"/>
        <w:keepLines w:val="0"/>
        <w:pageBreakBefore w:val="0"/>
        <w:widowControl w:val="0"/>
        <w:kinsoku/>
        <w:overflowPunct/>
        <w:topLinePunct w:val="0"/>
        <w:autoSpaceDE/>
        <w:bidi w:val="0"/>
        <w:adjustRightInd/>
        <w:textAlignment w:val="auto"/>
        <w:rPr>
          <w:rFonts w:hint="eastAsia"/>
          <w:color w:val="auto"/>
          <w:highlight w:val="none"/>
        </w:rPr>
      </w:pPr>
    </w:p>
    <w:p>
      <w:pPr>
        <w:keepNext w:val="0"/>
        <w:keepLines w:val="0"/>
        <w:pageBreakBefore w:val="0"/>
        <w:widowControl w:val="0"/>
        <w:kinsoku/>
        <w:overflowPunct/>
        <w:topLinePunct w:val="0"/>
        <w:autoSpaceDE/>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lang w:eastAsia="zh-CN"/>
              </w:rPr>
              <w:t>卓知项目管理顾问有限公司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开户银行：供应商在福建省政府采购网上公开信息系统获取招标文件后，根据其提示自行选择要缴交的投标保证金托管银行。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银行账号：福建省政府采购网上公开信息系统根据供应商选择的投标保证金托管银行自动生成供应商所投采购包的缴交银行账号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即多个采购包将对应生成多个缴交账号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。供应商应按照所投采购包的投标保证金要求，缴交相应的投标保证金。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1、投标人应认真核对账户信息，将投标保证金汇入以上账户，并自行承担因汇错投标保证金而产生的一切后果。</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2、投标人在转账或电汇的凭证上应按照以下格式注明，以便核对：“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的投标保证金”。</w:t>
            </w:r>
          </w:p>
        </w:tc>
      </w:tr>
    </w:tbl>
    <w:p>
      <w:pPr>
        <w:keepNext w:val="0"/>
        <w:keepLines w:val="0"/>
        <w:pageBreakBefore w:val="0"/>
        <w:widowControl w:val="0"/>
        <w:kinsoku/>
        <w:overflowPunct/>
        <w:topLinePunct w:val="0"/>
        <w:autoSpaceDE/>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附2：采购标的一览表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0"/>
          <w:kern w:val="0"/>
          <w:sz w:val="24"/>
          <w:szCs w:val="24"/>
          <w:highlight w:val="none"/>
          <w:lang w:val="en-US" w:eastAsia="zh-CN" w:bidi="ar"/>
        </w:rPr>
        <w:t>9379000</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0"/>
          <w:kern w:val="0"/>
          <w:sz w:val="24"/>
          <w:szCs w:val="24"/>
          <w:highlight w:val="none"/>
          <w:lang w:val="en-US" w:eastAsia="zh-CN" w:bidi="ar"/>
        </w:rPr>
        <w:t>9379000</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采购包保证金金额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p>
    <w:tbl>
      <w:tblPr>
        <w:tblStyle w:val="1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1"/>
        <w:gridCol w:w="3350"/>
        <w:gridCol w:w="723"/>
        <w:gridCol w:w="1262"/>
        <w:gridCol w:w="813"/>
        <w:gridCol w:w="1197"/>
        <w:gridCol w:w="12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pacing w:val="0"/>
                <w:kern w:val="0"/>
                <w:sz w:val="24"/>
                <w:szCs w:val="24"/>
                <w:highlight w:val="none"/>
                <w:lang w:val="en-US" w:eastAsia="zh-CN" w:bidi="ar"/>
              </w:rPr>
            </w:pPr>
            <w:r>
              <w:rPr>
                <w:rFonts w:hint="eastAsia" w:ascii="宋体" w:hAnsi="宋体" w:eastAsia="宋体" w:cs="宋体"/>
                <w:b/>
                <w:bCs/>
                <w:color w:val="auto"/>
                <w:spacing w:val="0"/>
                <w:kern w:val="0"/>
                <w:sz w:val="24"/>
                <w:szCs w:val="24"/>
                <w:highlight w:val="none"/>
                <w:lang w:val="en-US" w:eastAsia="zh-CN" w:bidi="ar"/>
              </w:rPr>
              <w:t>序号</w:t>
            </w:r>
          </w:p>
        </w:tc>
        <w:tc>
          <w:tcPr>
            <w:tcW w:w="179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pacing w:val="0"/>
                <w:kern w:val="0"/>
                <w:sz w:val="24"/>
                <w:szCs w:val="24"/>
                <w:highlight w:val="none"/>
                <w:lang w:val="en-US" w:eastAsia="zh-CN" w:bidi="ar"/>
              </w:rPr>
            </w:pPr>
            <w:r>
              <w:rPr>
                <w:rFonts w:hint="eastAsia" w:ascii="宋体" w:hAnsi="宋体" w:eastAsia="宋体" w:cs="宋体"/>
                <w:b/>
                <w:bCs/>
                <w:color w:val="auto"/>
                <w:spacing w:val="0"/>
                <w:kern w:val="0"/>
                <w:sz w:val="24"/>
                <w:szCs w:val="24"/>
                <w:highlight w:val="none"/>
                <w:lang w:val="en-US" w:eastAsia="zh-CN" w:bidi="ar"/>
              </w:rPr>
              <w:t>标的名称</w:t>
            </w:r>
          </w:p>
        </w:tc>
        <w:tc>
          <w:tcPr>
            <w:tcW w:w="3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pacing w:val="0"/>
                <w:kern w:val="0"/>
                <w:sz w:val="24"/>
                <w:szCs w:val="24"/>
                <w:highlight w:val="none"/>
                <w:lang w:val="en-US" w:eastAsia="zh-CN" w:bidi="ar"/>
              </w:rPr>
            </w:pPr>
            <w:r>
              <w:rPr>
                <w:rFonts w:hint="eastAsia" w:ascii="宋体" w:hAnsi="宋体" w:eastAsia="宋体" w:cs="宋体"/>
                <w:b/>
                <w:bCs/>
                <w:color w:val="auto"/>
                <w:spacing w:val="0"/>
                <w:kern w:val="0"/>
                <w:sz w:val="24"/>
                <w:szCs w:val="24"/>
                <w:highlight w:val="none"/>
                <w:lang w:val="en-US" w:eastAsia="zh-CN" w:bidi="ar"/>
              </w:rPr>
              <w:t>数量</w:t>
            </w:r>
          </w:p>
        </w:tc>
        <w:tc>
          <w:tcPr>
            <w:tcW w:w="67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pacing w:val="0"/>
                <w:kern w:val="0"/>
                <w:sz w:val="24"/>
                <w:szCs w:val="24"/>
                <w:highlight w:val="none"/>
                <w:lang w:val="en-US" w:eastAsia="zh-CN" w:bidi="ar"/>
              </w:rPr>
            </w:pPr>
            <w:r>
              <w:rPr>
                <w:rFonts w:hint="eastAsia" w:ascii="宋体" w:hAnsi="宋体" w:eastAsia="宋体" w:cs="宋体"/>
                <w:b/>
                <w:bCs/>
                <w:color w:val="auto"/>
                <w:spacing w:val="0"/>
                <w:kern w:val="0"/>
                <w:sz w:val="24"/>
                <w:szCs w:val="24"/>
                <w:highlight w:val="none"/>
                <w:lang w:val="en-US" w:eastAsia="zh-CN" w:bidi="ar"/>
              </w:rPr>
              <w:t>标的金额 （元）</w:t>
            </w:r>
          </w:p>
        </w:tc>
        <w:tc>
          <w:tcPr>
            <w:tcW w:w="436"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pacing w:val="0"/>
                <w:kern w:val="0"/>
                <w:sz w:val="24"/>
                <w:szCs w:val="24"/>
                <w:highlight w:val="none"/>
                <w:lang w:val="en-US" w:eastAsia="zh-CN" w:bidi="ar"/>
              </w:rPr>
            </w:pPr>
            <w:r>
              <w:rPr>
                <w:rFonts w:hint="eastAsia" w:ascii="宋体" w:hAnsi="宋体" w:eastAsia="宋体" w:cs="宋体"/>
                <w:b/>
                <w:bCs/>
                <w:color w:val="auto"/>
                <w:spacing w:val="0"/>
                <w:kern w:val="0"/>
                <w:sz w:val="24"/>
                <w:szCs w:val="24"/>
                <w:highlight w:val="none"/>
                <w:lang w:val="en-US" w:eastAsia="zh-CN" w:bidi="ar"/>
              </w:rPr>
              <w:t>计量单位</w:t>
            </w:r>
          </w:p>
        </w:tc>
        <w:tc>
          <w:tcPr>
            <w:tcW w:w="64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pacing w:val="0"/>
                <w:kern w:val="0"/>
                <w:sz w:val="24"/>
                <w:szCs w:val="24"/>
                <w:highlight w:val="none"/>
                <w:lang w:val="en-US" w:eastAsia="zh-CN" w:bidi="ar"/>
              </w:rPr>
            </w:pPr>
            <w:r>
              <w:rPr>
                <w:rFonts w:hint="eastAsia" w:ascii="宋体" w:hAnsi="宋体" w:eastAsia="宋体" w:cs="宋体"/>
                <w:b/>
                <w:bCs/>
                <w:color w:val="auto"/>
                <w:spacing w:val="0"/>
                <w:kern w:val="0"/>
                <w:sz w:val="24"/>
                <w:szCs w:val="24"/>
                <w:highlight w:val="none"/>
                <w:lang w:val="en-US" w:eastAsia="zh-CN" w:bidi="ar"/>
              </w:rPr>
              <w:t>所属行业</w:t>
            </w:r>
          </w:p>
        </w:tc>
        <w:tc>
          <w:tcPr>
            <w:tcW w:w="65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pacing w:val="0"/>
                <w:kern w:val="0"/>
                <w:sz w:val="24"/>
                <w:szCs w:val="24"/>
                <w:highlight w:val="none"/>
                <w:lang w:val="en-US" w:eastAsia="zh-CN" w:bidi="ar"/>
              </w:rPr>
            </w:pPr>
            <w:r>
              <w:rPr>
                <w:rFonts w:hint="eastAsia" w:ascii="宋体" w:hAnsi="宋体" w:eastAsia="宋体" w:cs="宋体"/>
                <w:b/>
                <w:bCs/>
                <w:color w:val="auto"/>
                <w:spacing w:val="0"/>
                <w:kern w:val="0"/>
                <w:sz w:val="24"/>
                <w:szCs w:val="24"/>
                <w:highlight w:val="none"/>
                <w:lang w:val="en-US" w:eastAsia="zh-CN" w:bidi="ar"/>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kern w:val="0"/>
                <w:sz w:val="24"/>
                <w:szCs w:val="24"/>
                <w:highlight w:val="none"/>
                <w:lang w:val="en-US" w:eastAsia="zh-CN" w:bidi="ar"/>
              </w:rPr>
            </w:pPr>
            <w:bookmarkStart w:id="1" w:name="OLE_LINK8" w:colFirst="0" w:colLast="1"/>
            <w:r>
              <w:rPr>
                <w:rFonts w:hint="eastAsia" w:ascii="宋体" w:hAnsi="宋体" w:eastAsia="宋体" w:cs="宋体"/>
                <w:color w:val="auto"/>
                <w:spacing w:val="0"/>
                <w:kern w:val="0"/>
                <w:sz w:val="24"/>
                <w:szCs w:val="24"/>
                <w:highlight w:val="none"/>
                <w:lang w:val="en-US" w:eastAsia="zh-CN" w:bidi="ar"/>
              </w:rPr>
              <w:t>1</w:t>
            </w:r>
          </w:p>
        </w:tc>
        <w:tc>
          <w:tcPr>
            <w:tcW w:w="179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z w:val="24"/>
                <w:szCs w:val="24"/>
                <w:highlight w:val="none"/>
                <w:lang w:eastAsia="zh-CN" w:bidi="ar"/>
              </w:rPr>
              <w:t>小流域风险隐患调查与成果应用</w:t>
            </w:r>
          </w:p>
        </w:tc>
        <w:tc>
          <w:tcPr>
            <w:tcW w:w="3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w:t>
            </w:r>
          </w:p>
        </w:tc>
        <w:tc>
          <w:tcPr>
            <w:tcW w:w="67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9379000</w:t>
            </w:r>
          </w:p>
        </w:tc>
        <w:tc>
          <w:tcPr>
            <w:tcW w:w="436"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pacing w:val="0"/>
                <w:kern w:val="0"/>
                <w:sz w:val="24"/>
                <w:szCs w:val="24"/>
                <w:highlight w:val="none"/>
                <w:lang w:val="en-US" w:eastAsia="zh-CN" w:bidi="ar"/>
              </w:rPr>
            </w:pPr>
            <w:r>
              <w:rPr>
                <w:rFonts w:ascii="宋体" w:hAnsi="宋体" w:eastAsia="宋体" w:cs="宋体"/>
                <w:color w:val="auto"/>
                <w:sz w:val="24"/>
                <w:szCs w:val="24"/>
                <w:highlight w:val="none"/>
                <w:lang w:eastAsia="zh-CN"/>
              </w:rPr>
              <w:t>项</w:t>
            </w:r>
          </w:p>
        </w:tc>
        <w:tc>
          <w:tcPr>
            <w:tcW w:w="64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pacing w:val="0"/>
                <w:kern w:val="0"/>
                <w:sz w:val="24"/>
                <w:szCs w:val="24"/>
                <w:highlight w:val="none"/>
                <w:lang w:val="en-US" w:eastAsia="zh-CN" w:bidi="ar"/>
              </w:rPr>
            </w:pPr>
            <w:bookmarkStart w:id="2" w:name="OLE_LINK18"/>
            <w:r>
              <w:rPr>
                <w:rFonts w:hint="eastAsia" w:ascii="宋体" w:hAnsi="宋体" w:eastAsia="宋体" w:cs="宋体"/>
                <w:color w:val="auto"/>
                <w:spacing w:val="0"/>
                <w:kern w:val="0"/>
                <w:sz w:val="24"/>
                <w:szCs w:val="24"/>
                <w:highlight w:val="none"/>
                <w:lang w:val="en-US" w:eastAsia="zh-CN" w:bidi="ar"/>
              </w:rPr>
              <w:t>其他未列明行业</w:t>
            </w:r>
            <w:bookmarkEnd w:id="2"/>
          </w:p>
        </w:tc>
        <w:tc>
          <w:tcPr>
            <w:tcW w:w="65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否</w:t>
            </w:r>
          </w:p>
        </w:tc>
      </w:tr>
      <w:bookmarkEnd w:id="1"/>
    </w:tbl>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529"/>
        <w:gridCol w:w="1230"/>
        <w:gridCol w:w="1185"/>
        <w:gridCol w:w="1200"/>
        <w:gridCol w:w="121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pacing w:val="0"/>
                <w:kern w:val="0"/>
                <w:sz w:val="24"/>
                <w:szCs w:val="24"/>
                <w:highlight w:val="none"/>
                <w:lang w:val="en-US" w:eastAsia="zh-CN" w:bidi="ar"/>
              </w:rPr>
              <w:t>序号</w:t>
            </w:r>
          </w:p>
        </w:tc>
        <w:tc>
          <w:tcPr>
            <w:tcW w:w="2529"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rPr>
              <w:t>报价内容</w:t>
            </w:r>
          </w:p>
        </w:tc>
        <w:tc>
          <w:tcPr>
            <w:tcW w:w="1230"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rPr>
              <w:t>计量单位</w:t>
            </w:r>
          </w:p>
        </w:tc>
        <w:tc>
          <w:tcPr>
            <w:tcW w:w="1185"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rPr>
              <w:t>报价单位</w:t>
            </w:r>
          </w:p>
        </w:tc>
        <w:tc>
          <w:tcPr>
            <w:tcW w:w="1200"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最高限价</w:t>
            </w:r>
          </w:p>
        </w:tc>
        <w:tc>
          <w:tcPr>
            <w:tcW w:w="1215"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价款形式</w:t>
            </w:r>
          </w:p>
        </w:tc>
        <w:tc>
          <w:tcPr>
            <w:tcW w:w="1219"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4"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529"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eastAsia="zh-CN" w:bidi="ar"/>
              </w:rPr>
              <w:t>小流域风险隐患调查与成果应用</w:t>
            </w:r>
          </w:p>
        </w:tc>
        <w:tc>
          <w:tcPr>
            <w:tcW w:w="1230"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项</w:t>
            </w:r>
          </w:p>
        </w:tc>
        <w:tc>
          <w:tcPr>
            <w:tcW w:w="1185"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元</w:t>
            </w:r>
          </w:p>
        </w:tc>
        <w:tc>
          <w:tcPr>
            <w:tcW w:w="1200"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宋体" w:hAnsi="宋体" w:eastAsia="宋体" w:cs="宋体"/>
                <w:color w:val="auto"/>
                <w:sz w:val="24"/>
                <w:szCs w:val="24"/>
                <w:highlight w:val="none"/>
                <w:vertAlign w:val="baseline"/>
                <w:lang w:val="en-US"/>
              </w:rPr>
            </w:pPr>
            <w:r>
              <w:rPr>
                <w:rFonts w:hint="eastAsia" w:ascii="宋体" w:hAnsi="宋体" w:eastAsia="宋体" w:cs="宋体"/>
                <w:color w:val="auto"/>
                <w:spacing w:val="0"/>
                <w:kern w:val="0"/>
                <w:sz w:val="24"/>
                <w:szCs w:val="24"/>
                <w:highlight w:val="none"/>
                <w:lang w:val="en-US" w:eastAsia="zh-CN" w:bidi="ar"/>
              </w:rPr>
              <w:t>9379000</w:t>
            </w:r>
          </w:p>
        </w:tc>
        <w:tc>
          <w:tcPr>
            <w:tcW w:w="1215"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总价</w:t>
            </w:r>
          </w:p>
        </w:tc>
        <w:tc>
          <w:tcPr>
            <w:tcW w:w="1219" w:type="dxa"/>
            <w:vAlign w:val="center"/>
          </w:tcPr>
          <w:p>
            <w:pPr>
              <w:pStyle w:val="21"/>
              <w:keepNext w:val="0"/>
              <w:keepLines w:val="0"/>
              <w:pageBreakBefore w:val="0"/>
              <w:widowControl w:val="0"/>
              <w:kinsoku/>
              <w:wordWrap/>
              <w:overflowPunct/>
              <w:topLinePunct w:val="0"/>
              <w:autoSpaceDE/>
              <w:autoSpaceDN/>
              <w:bidi w:val="0"/>
              <w:adjustRightInd/>
              <w:snapToGrid w:val="0"/>
              <w:spacing w:beforeLines="0" w:after="0" w:line="50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无</w:t>
            </w:r>
          </w:p>
        </w:tc>
      </w:tr>
    </w:tbl>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报价明细要求：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03"/>
        <w:gridCol w:w="2623"/>
        <w:gridCol w:w="750"/>
        <w:gridCol w:w="735"/>
        <w:gridCol w:w="1200"/>
        <w:gridCol w:w="7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rPr>
              <w:t>序号</w:t>
            </w:r>
          </w:p>
        </w:tc>
        <w:tc>
          <w:tcPr>
            <w:tcW w:w="1803"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rPr>
              <w:t>报价明细内容</w:t>
            </w:r>
          </w:p>
        </w:tc>
        <w:tc>
          <w:tcPr>
            <w:tcW w:w="2623"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rPr>
              <w:t>报价要求</w:t>
            </w:r>
          </w:p>
        </w:tc>
        <w:tc>
          <w:tcPr>
            <w:tcW w:w="750"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计量单位</w:t>
            </w:r>
          </w:p>
        </w:tc>
        <w:tc>
          <w:tcPr>
            <w:tcW w:w="735"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报价单位</w:t>
            </w:r>
          </w:p>
        </w:tc>
        <w:tc>
          <w:tcPr>
            <w:tcW w:w="1200"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最高限价</w:t>
            </w:r>
          </w:p>
        </w:tc>
        <w:tc>
          <w:tcPr>
            <w:tcW w:w="765"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价款形式</w:t>
            </w:r>
          </w:p>
        </w:tc>
        <w:tc>
          <w:tcPr>
            <w:tcW w:w="709"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803"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eastAsia="zh-CN" w:bidi="ar"/>
              </w:rPr>
              <w:t>小流域风险隐患调查与成果应用</w:t>
            </w:r>
          </w:p>
        </w:tc>
        <w:tc>
          <w:tcPr>
            <w:tcW w:w="2623"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投标报价应包括服务成本、法定税费和企业润等一切费用。</w:t>
            </w:r>
          </w:p>
        </w:tc>
        <w:tc>
          <w:tcPr>
            <w:tcW w:w="750"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项</w:t>
            </w:r>
          </w:p>
        </w:tc>
        <w:tc>
          <w:tcPr>
            <w:tcW w:w="735"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元</w:t>
            </w:r>
          </w:p>
        </w:tc>
        <w:tc>
          <w:tcPr>
            <w:tcW w:w="1200"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0"/>
                <w:kern w:val="0"/>
                <w:sz w:val="24"/>
                <w:szCs w:val="24"/>
                <w:highlight w:val="none"/>
                <w:lang w:val="en-US" w:eastAsia="zh-CN" w:bidi="ar"/>
              </w:rPr>
              <w:t>9379000</w:t>
            </w:r>
          </w:p>
        </w:tc>
        <w:tc>
          <w:tcPr>
            <w:tcW w:w="765"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总价</w:t>
            </w:r>
          </w:p>
        </w:tc>
        <w:tc>
          <w:tcPr>
            <w:tcW w:w="709"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val="0"/>
              <w:spacing w:beforeLines="0" w:after="0" w:line="50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无</w:t>
            </w:r>
          </w:p>
        </w:tc>
      </w:tr>
    </w:tbl>
    <w:p>
      <w:pPr>
        <w:keepNext w:val="0"/>
        <w:keepLines w:val="0"/>
        <w:pageBreakBefore w:val="0"/>
        <w:widowControl w:val="0"/>
        <w:kinsoku/>
        <w:overflowPunct/>
        <w:topLinePunct w:val="0"/>
        <w:autoSpaceDE/>
        <w:bidi w:val="0"/>
        <w:adjustRightInd/>
        <w:textAlignment w:val="auto"/>
        <w:rPr>
          <w:rFonts w:hint="eastAsia" w:ascii="宋体" w:hAnsi="宋体" w:eastAsia="宋体" w:cs="宋体"/>
          <w:b/>
          <w:color w:val="auto"/>
          <w:sz w:val="32"/>
          <w:szCs w:val="32"/>
          <w:highlight w:val="none"/>
        </w:rPr>
      </w:pPr>
      <w:bookmarkStart w:id="3" w:name="_Toc4740"/>
      <w:r>
        <w:rPr>
          <w:rFonts w:hint="eastAsia" w:ascii="宋体" w:hAnsi="宋体" w:eastAsia="宋体" w:cs="宋体"/>
          <w:b/>
          <w:color w:val="auto"/>
          <w:sz w:val="32"/>
          <w:szCs w:val="32"/>
          <w:highlight w:val="none"/>
        </w:rPr>
        <w:br w:type="page"/>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投标人</w:t>
      </w:r>
      <w:r>
        <w:rPr>
          <w:rFonts w:hint="eastAsia" w:ascii="宋体" w:hAnsi="宋体" w:eastAsia="宋体" w:cs="宋体"/>
          <w:b/>
          <w:color w:val="auto"/>
          <w:sz w:val="32"/>
          <w:szCs w:val="32"/>
          <w:highlight w:val="none"/>
        </w:rPr>
        <w:t>须知前附表</w:t>
      </w:r>
      <w:bookmarkEnd w:id="3"/>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rPr>
        <w:t>一、投标人须知前附表1</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1429"/>
        <w:gridCol w:w="71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322" w:type="dxa"/>
            <w:gridSpan w:val="3"/>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color w:val="auto"/>
                <w:sz w:val="24"/>
                <w:szCs w:val="24"/>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29"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w:t>
            </w:r>
          </w:p>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第三章</w:t>
            </w:r>
            <w:r>
              <w:rPr>
                <w:rFonts w:hint="eastAsia" w:ascii="宋体" w:hAnsi="宋体" w:eastAsia="宋体" w:cs="宋体"/>
                <w:b/>
                <w:bCs/>
                <w:color w:val="auto"/>
                <w:sz w:val="24"/>
                <w:szCs w:val="24"/>
                <w:highlight w:val="none"/>
                <w:lang w:eastAsia="zh-CN"/>
              </w:rPr>
              <w:t>）</w:t>
            </w:r>
          </w:p>
        </w:tc>
        <w:tc>
          <w:tcPr>
            <w:tcW w:w="7176"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b/>
                <w:bCs/>
                <w:color w:val="auto"/>
                <w:sz w:val="24"/>
                <w:szCs w:val="24"/>
                <w:highlight w:val="none"/>
              </w:rPr>
            </w:pPr>
            <w:r>
              <w:rPr>
                <w:rFonts w:hint="eastAsia" w:ascii="宋体" w:hAnsi="宋体" w:eastAsia="宋体" w:cs="宋体"/>
                <w:b/>
                <w:bCs/>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429"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w:t>
            </w:r>
          </w:p>
        </w:tc>
        <w:tc>
          <w:tcPr>
            <w:tcW w:w="7176" w:type="dxa"/>
            <w:vAlign w:val="center"/>
          </w:tcPr>
          <w:p>
            <w:pPr>
              <w:pStyle w:val="14"/>
              <w:keepNext w:val="0"/>
              <w:keepLines w:val="0"/>
              <w:pageBreakBefore w:val="0"/>
              <w:widowControl w:val="0"/>
              <w:suppressLineNumbers w:val="0"/>
              <w:kinsoku/>
              <w:overflowPunct/>
              <w:topLinePunct w:val="0"/>
              <w:autoSpaceDE/>
              <w:bidi w:val="0"/>
              <w:adjustRightInd/>
              <w:spacing w:before="0" w:beforeAutospacing="0" w:after="0" w:afterAutospacing="0" w:line="500" w:lineRule="exact"/>
              <w:ind w:left="0" w:right="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是否组织现场考察或召开开标前答疑会：</w:t>
            </w:r>
          </w:p>
          <w:p>
            <w:pPr>
              <w:pStyle w:val="14"/>
              <w:keepNext w:val="0"/>
              <w:keepLines w:val="0"/>
              <w:pageBreakBefore w:val="0"/>
              <w:widowControl w:val="0"/>
              <w:suppressLineNumbers w:val="0"/>
              <w:kinsoku/>
              <w:overflowPunct/>
              <w:topLinePunct w:val="0"/>
              <w:autoSpaceDE/>
              <w:bidi w:val="0"/>
              <w:adjustRightInd/>
              <w:spacing w:before="0" w:beforeAutospacing="0" w:after="0" w:afterAutospacing="0" w:line="500" w:lineRule="exact"/>
              <w:ind w:left="0" w:right="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val="en-US" w:eastAsia="zh-CN"/>
              </w:rPr>
              <w:t>采购包1：</w:t>
            </w:r>
            <w:r>
              <w:rPr>
                <w:rFonts w:hint="eastAsia" w:ascii="宋体" w:hAnsi="宋体" w:eastAsia="宋体" w:cs="宋体"/>
                <w:b/>
                <w:bCs/>
                <w:color w:val="auto"/>
                <w:sz w:val="24"/>
                <w:szCs w:val="24"/>
                <w:highlight w:val="none"/>
                <w:lang w:val="en-US" w:eastAsia="zh-CN"/>
              </w:rPr>
              <w:t>不组织</w:t>
            </w:r>
            <w:r>
              <w:rPr>
                <w:rFonts w:hint="eastAsia" w:ascii="宋体" w:hAnsi="宋体" w:eastAsia="宋体" w:cs="宋体"/>
                <w:b w:val="0"/>
                <w:bCs/>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1429"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10.4</w:t>
            </w:r>
          </w:p>
        </w:tc>
        <w:tc>
          <w:tcPr>
            <w:tcW w:w="7176"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投标文件的份数：</w:t>
            </w:r>
          </w:p>
          <w:p>
            <w:pPr>
              <w:pStyle w:val="21"/>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（1）可读介质（光盘或U盘）</w:t>
            </w:r>
            <w:r>
              <w:rPr>
                <w:rFonts w:hint="eastAsia" w:ascii="宋体" w:hAnsi="宋体" w:eastAsia="宋体" w:cs="宋体"/>
                <w:color w:val="auto"/>
                <w:kern w:val="0"/>
                <w:sz w:val="24"/>
                <w:szCs w:val="24"/>
                <w:highlight w:val="none"/>
                <w:u w:val="single"/>
                <w:lang w:val="en-US" w:eastAsia="zh-CN" w:bidi="ar"/>
              </w:rPr>
              <w:t xml:space="preserve"> 0 </w:t>
            </w:r>
            <w:r>
              <w:rPr>
                <w:rFonts w:hint="eastAsia" w:ascii="宋体" w:hAnsi="宋体" w:eastAsia="宋体" w:cs="宋体"/>
                <w:color w:val="auto"/>
                <w:kern w:val="0"/>
                <w:sz w:val="24"/>
                <w:szCs w:val="24"/>
                <w:highlight w:val="none"/>
                <w:lang w:val="en-US" w:eastAsia="zh-CN" w:bidi="ar"/>
              </w:rPr>
              <w:t>份：投标人应将其上传至福建省政府采购网上公开信息系统的电子投标文件在该可读介质中另存</w:t>
            </w:r>
            <w:r>
              <w:rPr>
                <w:rFonts w:hint="eastAsia" w:ascii="宋体" w:hAnsi="宋体" w:eastAsia="宋体" w:cs="宋体"/>
                <w:color w:val="auto"/>
                <w:kern w:val="0"/>
                <w:sz w:val="24"/>
                <w:szCs w:val="24"/>
                <w:highlight w:val="none"/>
                <w:u w:val="single"/>
                <w:lang w:val="en-US" w:eastAsia="zh-CN" w:bidi="ar"/>
              </w:rPr>
              <w:t xml:space="preserve"> 0 </w:t>
            </w:r>
            <w:r>
              <w:rPr>
                <w:rFonts w:hint="eastAsia" w:ascii="宋体" w:hAnsi="宋体" w:eastAsia="宋体" w:cs="宋体"/>
                <w:color w:val="auto"/>
                <w:kern w:val="0"/>
                <w:sz w:val="24"/>
                <w:szCs w:val="24"/>
                <w:highlight w:val="none"/>
                <w:lang w:val="en-US" w:eastAsia="zh-CN" w:bidi="ar"/>
              </w:rPr>
              <w:t>份。</w:t>
            </w:r>
          </w:p>
          <w:p>
            <w:pPr>
              <w:pStyle w:val="21"/>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rPr>
            </w:pPr>
            <w:r>
              <w:rPr>
                <w:rFonts w:ascii="宋体" w:hAnsi="宋体" w:eastAsia="宋体" w:cs="宋体"/>
                <w:bCs/>
                <w:color w:val="auto"/>
                <w:sz w:val="24"/>
                <w:szCs w:val="24"/>
                <w:highlight w:val="none"/>
              </w:rPr>
              <w:t>3</w:t>
            </w:r>
          </w:p>
        </w:tc>
        <w:tc>
          <w:tcPr>
            <w:tcW w:w="1429"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eastAsia="zh-CN"/>
              </w:rPr>
            </w:pPr>
            <w:r>
              <w:rPr>
                <w:rFonts w:ascii="宋体" w:hAnsi="宋体" w:eastAsia="宋体" w:cs="宋体"/>
                <w:bCs/>
                <w:color w:val="auto"/>
                <w:sz w:val="24"/>
                <w:szCs w:val="24"/>
                <w:highlight w:val="none"/>
              </w:rPr>
              <w:t>10.7-</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p>
        </w:tc>
        <w:tc>
          <w:tcPr>
            <w:tcW w:w="7176" w:type="dxa"/>
            <w:vAlign w:val="center"/>
          </w:tcPr>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是否允许中标人将本项目的非主体、非关键性工作进行分包：</w:t>
            </w:r>
          </w:p>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color w:val="auto"/>
                <w:sz w:val="24"/>
                <w:szCs w:val="24"/>
                <w:highlight w:val="none"/>
                <w:lang w:eastAsia="zh-CN"/>
              </w:rPr>
            </w:pPr>
            <w:r>
              <w:rPr>
                <w:rFonts w:ascii="宋体" w:hAnsi="宋体" w:eastAsia="宋体" w:cs="宋体"/>
                <w:bCs/>
                <w:color w:val="auto"/>
                <w:sz w:val="24"/>
                <w:szCs w:val="24"/>
                <w:highlight w:val="none"/>
              </w:rPr>
              <w:t>采购包1：不允许</w:t>
            </w:r>
            <w:r>
              <w:rPr>
                <w:rFonts w:ascii="宋体" w:hAnsi="宋体" w:eastAsia="宋体" w:cs="宋体"/>
                <w:bCs/>
                <w:color w:val="auto"/>
                <w:sz w:val="24"/>
                <w:szCs w:val="24"/>
                <w:highlight w:val="none"/>
                <w:lang w:eastAsia="zh-CN"/>
              </w:rPr>
              <w:t>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eastAsia="zh-CN"/>
              </w:rPr>
            </w:pPr>
            <w:r>
              <w:rPr>
                <w:rFonts w:ascii="宋体" w:hAnsi="宋体" w:eastAsia="宋体" w:cs="宋体"/>
                <w:bCs/>
                <w:color w:val="auto"/>
                <w:sz w:val="24"/>
                <w:szCs w:val="24"/>
                <w:highlight w:val="none"/>
              </w:rPr>
              <w:t>4</w:t>
            </w:r>
          </w:p>
        </w:tc>
        <w:tc>
          <w:tcPr>
            <w:tcW w:w="1429"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eastAsia="zh-CN"/>
              </w:rPr>
            </w:pPr>
            <w:r>
              <w:rPr>
                <w:rFonts w:ascii="宋体" w:hAnsi="宋体" w:eastAsia="宋体" w:cs="宋体"/>
                <w:bCs/>
                <w:color w:val="auto"/>
                <w:sz w:val="24"/>
                <w:szCs w:val="24"/>
                <w:highlight w:val="none"/>
              </w:rPr>
              <w:t>10.8-</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p>
        </w:tc>
        <w:tc>
          <w:tcPr>
            <w:tcW w:w="7176" w:type="dxa"/>
            <w:vAlign w:val="center"/>
          </w:tcPr>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b w:val="0"/>
                <w:bCs/>
                <w:color w:val="auto"/>
                <w:sz w:val="24"/>
                <w:szCs w:val="24"/>
                <w:highlight w:val="none"/>
                <w:lang w:eastAsia="zh-CN"/>
              </w:rPr>
            </w:pPr>
            <w:r>
              <w:rPr>
                <w:rFonts w:ascii="宋体" w:hAnsi="宋体" w:eastAsia="宋体" w:cs="宋体"/>
                <w:b/>
                <w:color w:val="auto"/>
                <w:sz w:val="24"/>
                <w:szCs w:val="24"/>
                <w:highlight w:val="none"/>
              </w:rPr>
              <w:t>投标有效期：</w:t>
            </w:r>
            <w:r>
              <w:rPr>
                <w:rFonts w:ascii="宋体" w:hAnsi="宋体" w:eastAsia="宋体" w:cs="宋体"/>
                <w:bCs/>
                <w:color w:val="auto"/>
                <w:sz w:val="24"/>
                <w:szCs w:val="24"/>
                <w:highlight w:val="none"/>
              </w:rPr>
              <w:t>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5</w:t>
            </w:r>
          </w:p>
        </w:tc>
        <w:tc>
          <w:tcPr>
            <w:tcW w:w="1429"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Hans"/>
              </w:rPr>
            </w:pPr>
            <w:r>
              <w:rPr>
                <w:rFonts w:ascii="宋体" w:hAnsi="宋体" w:eastAsia="宋体" w:cs="宋体"/>
                <w:bCs/>
                <w:color w:val="auto"/>
                <w:sz w:val="24"/>
                <w:szCs w:val="24"/>
                <w:highlight w:val="none"/>
              </w:rPr>
              <w:t>12.1</w:t>
            </w:r>
          </w:p>
        </w:tc>
        <w:tc>
          <w:tcPr>
            <w:tcW w:w="7176" w:type="dxa"/>
            <w:vAlign w:val="center"/>
          </w:tcPr>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确定中标候选人名单：</w:t>
            </w:r>
          </w:p>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采购包1：1名</w:t>
            </w:r>
            <w:r>
              <w:rPr>
                <w:rFonts w:ascii="宋体" w:hAnsi="宋体" w:eastAsia="宋体" w:cs="宋体"/>
                <w:bCs/>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kern w:val="0"/>
                <w:sz w:val="24"/>
                <w:szCs w:val="24"/>
                <w:highlight w:val="none"/>
                <w:lang w:val="en-US" w:eastAsia="zh-CN" w:bidi="ar"/>
              </w:rPr>
            </w:pPr>
            <w:r>
              <w:rPr>
                <w:rFonts w:ascii="宋体" w:hAnsi="宋体" w:eastAsia="宋体" w:cs="宋体"/>
                <w:bCs/>
                <w:color w:val="auto"/>
                <w:sz w:val="24"/>
                <w:szCs w:val="24"/>
                <w:highlight w:val="none"/>
              </w:rPr>
              <w:t>6</w:t>
            </w:r>
          </w:p>
        </w:tc>
        <w:tc>
          <w:tcPr>
            <w:tcW w:w="1429"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kern w:val="0"/>
                <w:sz w:val="24"/>
                <w:szCs w:val="24"/>
                <w:highlight w:val="none"/>
                <w:lang w:val="en-US" w:eastAsia="zh-CN" w:bidi="ar"/>
              </w:rPr>
            </w:pPr>
            <w:r>
              <w:rPr>
                <w:rFonts w:ascii="宋体" w:hAnsi="宋体" w:eastAsia="宋体" w:cs="宋体"/>
                <w:bCs/>
                <w:color w:val="auto"/>
                <w:sz w:val="24"/>
                <w:szCs w:val="24"/>
                <w:highlight w:val="none"/>
              </w:rPr>
              <w:t>12.2</w:t>
            </w:r>
          </w:p>
        </w:tc>
        <w:tc>
          <w:tcPr>
            <w:tcW w:w="7176" w:type="dxa"/>
            <w:vAlign w:val="center"/>
          </w:tcPr>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本项目中标人的确定</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以采购包为单位</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ascii="宋体" w:hAnsi="宋体" w:eastAsia="宋体" w:cs="宋体"/>
                <w:color w:val="auto"/>
                <w:sz w:val="24"/>
                <w:szCs w:val="24"/>
                <w:highlight w:val="none"/>
              </w:rPr>
              <w:t>采购人应在政府采购招投标管理办法规定的时限内确定中标人</w:t>
            </w:r>
            <w:r>
              <w:rPr>
                <w:rFonts w:ascii="宋体" w:hAnsi="宋体" w:eastAsia="宋体" w:cs="宋体"/>
                <w:bCs/>
                <w:color w:val="auto"/>
                <w:sz w:val="24"/>
                <w:szCs w:val="24"/>
                <w:highlight w:val="none"/>
              </w:rPr>
              <w:t>。</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若出现中标候选人并列情形，则按照下列方式确定中标人：</w:t>
            </w:r>
          </w:p>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①招标文件规定的方式：无。</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②若本款第①点规定方式为“无”，则按照下列方式确定：无。</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③若本款第①、②点规定方式均为“无”，则按照下列方式确定：随机抽取</w:t>
            </w:r>
            <w:r>
              <w:rPr>
                <w:rFonts w:ascii="宋体" w:hAnsi="宋体" w:eastAsia="宋体" w:cs="宋体"/>
                <w:bCs/>
                <w:color w:val="auto"/>
                <w:sz w:val="24"/>
                <w:szCs w:val="24"/>
                <w:highlight w:val="none"/>
                <w:lang w:eastAsia="zh-CN"/>
              </w:rPr>
              <w:t>。</w:t>
            </w:r>
          </w:p>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本项目确定的中标人家数：采购包1：1名</w:t>
            </w:r>
            <w:r>
              <w:rPr>
                <w:rFonts w:ascii="宋体" w:hAnsi="宋体" w:eastAsia="宋体" w:cs="宋体"/>
                <w:bCs/>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Hans"/>
              </w:rPr>
            </w:pPr>
            <w:r>
              <w:rPr>
                <w:rFonts w:ascii="宋体" w:hAnsi="宋体" w:eastAsia="宋体" w:cs="宋体"/>
                <w:bCs/>
                <w:color w:val="auto"/>
                <w:sz w:val="24"/>
                <w:szCs w:val="24"/>
                <w:highlight w:val="none"/>
              </w:rPr>
              <w:t>7</w:t>
            </w:r>
          </w:p>
        </w:tc>
        <w:tc>
          <w:tcPr>
            <w:tcW w:w="1429"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13.2</w:t>
            </w:r>
          </w:p>
        </w:tc>
        <w:tc>
          <w:tcPr>
            <w:tcW w:w="7176" w:type="dxa"/>
            <w:vAlign w:val="center"/>
          </w:tcPr>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b/>
                <w:bCs w:val="0"/>
                <w:color w:val="auto"/>
                <w:sz w:val="24"/>
                <w:szCs w:val="24"/>
                <w:highlight w:val="none"/>
                <w:lang w:eastAsia="zh-CN"/>
              </w:rPr>
            </w:pPr>
            <w:r>
              <w:rPr>
                <w:rFonts w:ascii="宋体" w:hAnsi="宋体" w:eastAsia="宋体" w:cs="宋体"/>
                <w:b/>
                <w:color w:val="auto"/>
                <w:sz w:val="24"/>
                <w:szCs w:val="24"/>
                <w:highlight w:val="none"/>
              </w:rPr>
              <w:t>合同签订时限：</w:t>
            </w:r>
            <w:r>
              <w:rPr>
                <w:rFonts w:ascii="宋体" w:hAnsi="宋体" w:eastAsia="宋体" w:cs="宋体"/>
                <w:bCs/>
                <w:color w:val="auto"/>
                <w:sz w:val="24"/>
                <w:szCs w:val="24"/>
                <w:highlight w:val="none"/>
              </w:rPr>
              <w:t>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Hans"/>
              </w:rPr>
            </w:pPr>
            <w:r>
              <w:rPr>
                <w:rFonts w:ascii="宋体" w:hAnsi="宋体" w:eastAsia="宋体" w:cs="宋体"/>
                <w:bCs/>
                <w:color w:val="auto"/>
                <w:sz w:val="24"/>
                <w:szCs w:val="24"/>
                <w:highlight w:val="none"/>
              </w:rPr>
              <w:t>8</w:t>
            </w:r>
          </w:p>
        </w:tc>
        <w:tc>
          <w:tcPr>
            <w:tcW w:w="1429"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15.1-</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p>
        </w:tc>
        <w:tc>
          <w:tcPr>
            <w:tcW w:w="7176" w:type="dxa"/>
            <w:vAlign w:val="center"/>
          </w:tcPr>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b w:val="0"/>
                <w:bCs/>
                <w:color w:val="auto"/>
                <w:sz w:val="24"/>
                <w:szCs w:val="24"/>
                <w:highlight w:val="none"/>
              </w:rPr>
            </w:pPr>
            <w:r>
              <w:rPr>
                <w:rFonts w:ascii="宋体" w:hAnsi="宋体" w:eastAsia="宋体" w:cs="宋体"/>
                <w:b/>
                <w:color w:val="auto"/>
                <w:sz w:val="24"/>
                <w:szCs w:val="24"/>
                <w:highlight w:val="none"/>
              </w:rPr>
              <w:t>质疑函原件应采用下列方式提交：</w:t>
            </w:r>
            <w:r>
              <w:rPr>
                <w:rFonts w:ascii="宋体" w:hAnsi="宋体" w:eastAsia="宋体" w:cs="宋体"/>
                <w:bCs/>
                <w:color w:val="auto"/>
                <w:sz w:val="24"/>
                <w:szCs w:val="24"/>
                <w:highlight w:val="none"/>
              </w:rPr>
              <w:t>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9</w:t>
            </w:r>
          </w:p>
        </w:tc>
        <w:tc>
          <w:tcPr>
            <w:tcW w:w="1429"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15.4</w:t>
            </w:r>
          </w:p>
        </w:tc>
        <w:tc>
          <w:tcPr>
            <w:tcW w:w="7176" w:type="dxa"/>
            <w:vAlign w:val="center"/>
          </w:tcPr>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
                <w:color w:val="auto"/>
                <w:sz w:val="24"/>
                <w:szCs w:val="24"/>
                <w:highlight w:val="none"/>
                <w:lang w:eastAsia="zh-CN"/>
              </w:rPr>
            </w:pPr>
            <w:r>
              <w:rPr>
                <w:rFonts w:ascii="宋体" w:hAnsi="宋体" w:eastAsia="宋体" w:cs="宋体"/>
                <w:b/>
                <w:color w:val="auto"/>
                <w:sz w:val="24"/>
                <w:szCs w:val="24"/>
                <w:highlight w:val="none"/>
              </w:rPr>
              <w:t>招标文件的质疑</w:t>
            </w:r>
            <w:r>
              <w:rPr>
                <w:rFonts w:ascii="宋体" w:hAnsi="宋体" w:eastAsia="宋体" w:cs="宋体"/>
                <w:b/>
                <w:color w:val="auto"/>
                <w:sz w:val="24"/>
                <w:szCs w:val="24"/>
                <w:highlight w:val="none"/>
                <w:lang w:eastAsia="zh-CN"/>
              </w:rPr>
              <w:t>：</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潜在</w:t>
            </w:r>
            <w:r>
              <w:rPr>
                <w:rFonts w:ascii="宋体" w:hAnsi="宋体" w:eastAsia="宋体" w:cs="宋体"/>
                <w:bCs/>
                <w:color w:val="auto"/>
                <w:sz w:val="24"/>
                <w:szCs w:val="24"/>
                <w:highlight w:val="none"/>
                <w:lang w:eastAsia="zh-CN"/>
              </w:rPr>
              <w:t>投标人</w:t>
            </w:r>
            <w:r>
              <w:rPr>
                <w:rFonts w:ascii="宋体" w:hAnsi="宋体" w:eastAsia="宋体" w:cs="宋体"/>
                <w:bCs/>
                <w:color w:val="auto"/>
                <w:sz w:val="24"/>
                <w:szCs w:val="24"/>
                <w:highlight w:val="none"/>
              </w:rPr>
              <w:t>可在质疑时效期间内对招标文件以书面形式提出质疑。</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质疑时效期间：应在依法获取招标文件之日起7个工作日内向</w:t>
            </w:r>
            <w:r>
              <w:rPr>
                <w:rFonts w:ascii="宋体" w:hAnsi="宋体" w:eastAsia="宋体" w:cs="宋体"/>
                <w:bCs/>
                <w:color w:val="auto"/>
                <w:sz w:val="24"/>
                <w:szCs w:val="24"/>
                <w:highlight w:val="none"/>
                <w:lang w:eastAsia="zh-CN"/>
              </w:rPr>
              <w:t>卓知项目管理顾问有限公司</w:t>
            </w:r>
            <w:r>
              <w:rPr>
                <w:rFonts w:ascii="宋体" w:hAnsi="宋体" w:eastAsia="宋体" w:cs="宋体"/>
                <w:bCs/>
                <w:color w:val="auto"/>
                <w:sz w:val="24"/>
                <w:szCs w:val="24"/>
                <w:highlight w:val="none"/>
              </w:rPr>
              <w:t>提出，依法获取招标文件的时间以福建省政府采购网上公开信息系统记载的为准。</w:t>
            </w:r>
          </w:p>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
                <w:color w:val="auto"/>
                <w:sz w:val="24"/>
                <w:szCs w:val="24"/>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10</w:t>
            </w:r>
          </w:p>
        </w:tc>
        <w:tc>
          <w:tcPr>
            <w:tcW w:w="1429"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16.1</w:t>
            </w:r>
          </w:p>
        </w:tc>
        <w:tc>
          <w:tcPr>
            <w:tcW w:w="7176" w:type="dxa"/>
            <w:vAlign w:val="center"/>
          </w:tcPr>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
                <w:color w:val="auto"/>
                <w:sz w:val="24"/>
                <w:szCs w:val="24"/>
                <w:highlight w:val="none"/>
              </w:rPr>
              <w:t>监督管理部门：</w:t>
            </w:r>
            <w:r>
              <w:rPr>
                <w:rFonts w:hint="eastAsia" w:ascii="宋体" w:hAnsi="宋体" w:eastAsia="宋体" w:cs="宋体"/>
                <w:color w:val="auto"/>
                <w:sz w:val="24"/>
                <w:szCs w:val="24"/>
                <w:highlight w:val="none"/>
              </w:rPr>
              <w:t>福建省财政厅政府采购监督管理办公室</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仅限依法进行政府采购的货物或服务类项目</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11</w:t>
            </w:r>
          </w:p>
        </w:tc>
        <w:tc>
          <w:tcPr>
            <w:tcW w:w="1429"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18.1</w:t>
            </w:r>
          </w:p>
        </w:tc>
        <w:tc>
          <w:tcPr>
            <w:tcW w:w="7176" w:type="dxa"/>
            <w:vAlign w:val="center"/>
          </w:tcPr>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财政部和福建省财政厅指定的政府采购信息发布媒体</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以下简称：“指定媒体”</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中国政府采购网，网址www.ccgp.gov.cn。</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中国政府采购网福建分网</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福建省政府采购网</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，网址zfcg.czt.fujian.gov.cn。</w:t>
            </w:r>
          </w:p>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
                <w:color w:val="auto"/>
                <w:sz w:val="24"/>
                <w:szCs w:val="24"/>
                <w:highlight w:val="none"/>
              </w:rPr>
              <w:t>※若出现上述指定媒体信息不一致情形，应以中国政府采购网福建分网</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福建省政府采购网</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17"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lang w:eastAsia="zh-CN"/>
              </w:rPr>
              <w:t>12</w:t>
            </w:r>
          </w:p>
        </w:tc>
        <w:tc>
          <w:tcPr>
            <w:tcW w:w="1429" w:type="dxa"/>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Cs/>
                <w:color w:val="auto"/>
                <w:sz w:val="24"/>
                <w:szCs w:val="24"/>
                <w:highlight w:val="none"/>
              </w:rPr>
              <w:t>19</w:t>
            </w:r>
          </w:p>
        </w:tc>
        <w:tc>
          <w:tcPr>
            <w:tcW w:w="7176" w:type="dxa"/>
            <w:vAlign w:val="center"/>
          </w:tcPr>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其他事项：</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本项目代理服务费：</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本项目收取代理服务费</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代理服务费用收取对象：中标/</w:t>
            </w:r>
            <w:r>
              <w:rPr>
                <w:rFonts w:hint="eastAsia" w:ascii="宋体" w:hAnsi="宋体" w:eastAsia="宋体" w:cs="宋体"/>
                <w:bCs/>
                <w:color w:val="auto"/>
                <w:sz w:val="24"/>
                <w:szCs w:val="24"/>
                <w:highlight w:val="none"/>
                <w:lang w:eastAsia="zh-CN"/>
              </w:rPr>
              <w:t>中标人</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hint="default" w:ascii="宋体" w:hAnsi="宋体" w:eastAsia="宋体" w:cs="宋体"/>
                <w:color w:val="auto"/>
                <w:sz w:val="24"/>
                <w:szCs w:val="24"/>
                <w:highlight w:val="none"/>
                <w:shd w:val="clear" w:color="auto" w:fill="FFFFFF"/>
                <w:lang w:val="en-US" w:eastAsia="zh-CN"/>
              </w:rPr>
            </w:pPr>
            <w:r>
              <w:rPr>
                <w:rFonts w:ascii="宋体" w:hAnsi="宋体" w:eastAsia="宋体" w:cs="宋体"/>
                <w:color w:val="auto"/>
                <w:sz w:val="24"/>
                <w:szCs w:val="24"/>
                <w:highlight w:val="none"/>
                <w:shd w:val="clear" w:color="auto" w:fill="FFFFFF"/>
              </w:rPr>
              <w:t>代理服务费收费标准：</w:t>
            </w:r>
            <w:r>
              <w:rPr>
                <w:rFonts w:hint="eastAsia" w:ascii="宋体" w:hAnsi="宋体" w:eastAsia="宋体" w:cs="宋体"/>
                <w:color w:val="auto"/>
                <w:sz w:val="24"/>
                <w:szCs w:val="24"/>
                <w:highlight w:val="none"/>
                <w:shd w:val="clear" w:color="auto" w:fill="FFFFFF"/>
              </w:rPr>
              <w:t>①</w:t>
            </w:r>
            <w:r>
              <w:rPr>
                <w:rFonts w:ascii="宋体" w:hAnsi="宋体" w:eastAsia="宋体" w:cs="宋体"/>
                <w:bCs/>
                <w:color w:val="auto"/>
                <w:sz w:val="24"/>
                <w:szCs w:val="24"/>
                <w:highlight w:val="none"/>
              </w:rPr>
              <w:t>100万元以下</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含100万元</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w:t>
            </w:r>
            <w:r>
              <w:rPr>
                <w:rFonts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val="en-US" w:eastAsia="zh-CN"/>
              </w:rPr>
              <w:t>5</w:t>
            </w:r>
            <w:r>
              <w:rPr>
                <w:rFonts w:ascii="宋体" w:hAnsi="宋体" w:eastAsia="宋体" w:cs="宋体"/>
                <w:bCs/>
                <w:color w:val="auto"/>
                <w:sz w:val="24"/>
                <w:szCs w:val="24"/>
                <w:highlight w:val="none"/>
              </w:rPr>
              <w:t>％</w:t>
            </w:r>
            <w:r>
              <w:rPr>
                <w:rFonts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②</w:t>
            </w:r>
            <w:r>
              <w:rPr>
                <w:rFonts w:ascii="宋体" w:hAnsi="宋体" w:eastAsia="宋体" w:cs="宋体"/>
                <w:bCs/>
                <w:color w:val="auto"/>
                <w:sz w:val="24"/>
                <w:szCs w:val="24"/>
                <w:highlight w:val="none"/>
                <w:lang w:eastAsia="zh-CN"/>
              </w:rPr>
              <w:t>100万元-500万元</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含</w:t>
            </w:r>
            <w:r>
              <w:rPr>
                <w:rFonts w:ascii="宋体" w:hAnsi="宋体" w:eastAsia="宋体" w:cs="宋体"/>
                <w:bCs/>
                <w:color w:val="auto"/>
                <w:sz w:val="24"/>
                <w:szCs w:val="24"/>
                <w:highlight w:val="none"/>
                <w:lang w:eastAsia="zh-CN"/>
              </w:rPr>
              <w:t>5</w:t>
            </w:r>
            <w:r>
              <w:rPr>
                <w:rFonts w:ascii="宋体" w:hAnsi="宋体" w:eastAsia="宋体" w:cs="宋体"/>
                <w:bCs/>
                <w:color w:val="auto"/>
                <w:sz w:val="24"/>
                <w:szCs w:val="24"/>
                <w:highlight w:val="none"/>
              </w:rPr>
              <w:t>00万元</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lang w:eastAsia="zh-CN"/>
              </w:rPr>
              <w:t>：0.</w:t>
            </w:r>
            <w:r>
              <w:rPr>
                <w:rFonts w:hint="eastAsia" w:ascii="宋体" w:hAnsi="宋体" w:eastAsia="宋体" w:cs="宋体"/>
                <w:bCs/>
                <w:color w:val="auto"/>
                <w:sz w:val="24"/>
                <w:szCs w:val="24"/>
                <w:highlight w:val="none"/>
                <w:lang w:val="en-US" w:eastAsia="zh-CN"/>
              </w:rPr>
              <w:t>8</w:t>
            </w:r>
            <w:r>
              <w:rPr>
                <w:rFonts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；③500-1000万元（含1000万元）：0.45％</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lang w:eastAsia="zh-CN"/>
              </w:rPr>
              <w:t>其他</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lang w:eastAsia="zh-CN"/>
              </w:rPr>
            </w:pPr>
            <w:r>
              <w:rPr>
                <w:rFonts w:ascii="宋体" w:hAnsi="宋体" w:eastAsia="宋体" w:cs="宋体"/>
                <w:color w:val="auto"/>
                <w:sz w:val="24"/>
                <w:szCs w:val="24"/>
                <w:highlight w:val="none"/>
                <w:shd w:val="clear" w:color="auto" w:fill="FFFFFF"/>
                <w:lang w:eastAsia="zh-CN"/>
              </w:rPr>
              <w:t>2.1、</w:t>
            </w:r>
            <w:r>
              <w:rPr>
                <w:rFonts w:ascii="宋体" w:hAnsi="宋体" w:eastAsia="宋体" w:cs="宋体"/>
                <w:color w:val="auto"/>
                <w:sz w:val="24"/>
                <w:szCs w:val="24"/>
                <w:highlight w:val="none"/>
                <w:shd w:val="clear" w:color="auto" w:fill="FFFFFF"/>
              </w:rPr>
              <w:t>代理服务费</w:t>
            </w:r>
            <w:r>
              <w:rPr>
                <w:rFonts w:ascii="宋体" w:hAnsi="宋体" w:eastAsia="宋体" w:cs="宋体"/>
                <w:bCs/>
                <w:color w:val="auto"/>
                <w:sz w:val="24"/>
                <w:szCs w:val="24"/>
                <w:highlight w:val="none"/>
                <w:lang w:eastAsia="zh-CN"/>
              </w:rPr>
              <w:t>收费基准：以采购包的中标</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lang w:eastAsia="zh-CN"/>
              </w:rPr>
              <w:t>金额为收费的计算基数，按差额定率累进法计算。</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2.2、</w:t>
            </w:r>
            <w:r>
              <w:rPr>
                <w:rFonts w:hint="eastAsia" w:ascii="宋体" w:hAnsi="宋体" w:eastAsia="宋体" w:cs="宋体"/>
                <w:color w:val="auto"/>
                <w:highlight w:val="none"/>
                <w:shd w:val="clear" w:color="auto" w:fill="FFFFFF"/>
                <w:lang w:eastAsia="zh-Hans"/>
              </w:rPr>
              <w:t>中标人</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lang w:eastAsia="zh-Hans"/>
              </w:rPr>
              <w:t>成交人</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lang w:eastAsia="zh-Hans"/>
              </w:rPr>
              <w:t>应在领取中标</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lang w:eastAsia="zh-Hans"/>
              </w:rPr>
              <w:t>成交</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lang w:eastAsia="zh-Hans"/>
              </w:rPr>
              <w:t>通知书前应先以转帐或电汇付款方式一次性向代理机构缴纳代理服务费。</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2.3、代理服务费</w:t>
            </w:r>
            <w:r>
              <w:rPr>
                <w:rFonts w:hint="eastAsia" w:ascii="宋体" w:hAnsi="宋体" w:eastAsia="宋体" w:cs="宋体"/>
                <w:color w:val="auto"/>
                <w:highlight w:val="none"/>
                <w:lang w:bidi="ar"/>
              </w:rPr>
              <w:t>银行账号：</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color w:val="auto"/>
                <w:highlight w:val="none"/>
                <w:lang w:bidi="ar"/>
              </w:rPr>
              <w:t>：卓知项目管理顾问有限公司福州分公司；</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lang w:bidi="ar"/>
              </w:rPr>
              <w:t>：中国民生银行福州</w:t>
            </w:r>
            <w:r>
              <w:rPr>
                <w:rFonts w:hint="eastAsia" w:ascii="宋体" w:hAnsi="宋体" w:eastAsia="宋体" w:cs="宋体"/>
                <w:color w:val="auto"/>
                <w:highlight w:val="none"/>
                <w:lang w:val="en-US" w:eastAsia="zh-CN" w:bidi="ar"/>
              </w:rPr>
              <w:t>晋安</w:t>
            </w:r>
            <w:r>
              <w:rPr>
                <w:rFonts w:hint="eastAsia" w:ascii="宋体" w:hAnsi="宋体" w:eastAsia="宋体" w:cs="宋体"/>
                <w:color w:val="auto"/>
                <w:highlight w:val="none"/>
                <w:lang w:bidi="ar"/>
              </w:rPr>
              <w:t>支行；</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w:t>
            </w:r>
            <w:r>
              <w:rPr>
                <w:rFonts w:hint="eastAsia" w:ascii="宋体" w:hAnsi="宋体" w:eastAsia="宋体" w:cs="宋体"/>
                <w:color w:val="auto"/>
                <w:highlight w:val="none"/>
                <w:lang w:bidi="ar"/>
              </w:rPr>
              <w:t>：1510012830002079。</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bidi="ar"/>
              </w:rPr>
              <w:t>2.4、投标文件</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将</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被拒绝或拒收、投标文件无效及否决等相关条款：</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①不符合第一章邀请书第7.2、8.2条款中“投标文件</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将</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被拒绝或拒收”规定的；</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②出现第二章须知前附表表2中“否决”或“无效”或“投标文件</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将</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被拒绝或拒收”条款规定的；</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③出现第三章须知第3.2</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6</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、9、10.6、10.8</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2</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、10.9</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2</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、10.9</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3</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、10.11</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2</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、10.12、11.4</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1</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auto"/>
                <w:highlight w:val="none"/>
                <w:shd w:val="clear" w:color="auto" w:fill="FFFFFF"/>
              </w:rPr>
              <w:t>条款中“否决”或“无效”条款规定的；</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④出现第四章资格审查与评标中规定的“否决”或“无效”条款的；</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⑤出现第五章招标内容及要求中“否决或无效”条款规定的或“★”标注的内容为负偏离的；</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⑥出现第七章电子投标文件格式中“否决”或“无效”条款规定的。</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2.5、远程开标的规定：</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①本项目支持远程开标，投标人可通过远程线上参与开标，具体系统操作指南详见福建省政府采购网首页上相关操作手册。</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②本项目开标过程中解密的操作时限为30分钟，远程签章的操作时限为</w:t>
            </w:r>
            <w:r>
              <w:rPr>
                <w:rFonts w:hint="eastAsia" w:ascii="宋体" w:hAnsi="宋体" w:eastAsia="宋体" w:cs="宋体"/>
                <w:color w:val="auto"/>
                <w:highlight w:val="none"/>
                <w:shd w:val="clear" w:color="auto" w:fill="FFFFFF"/>
                <w:lang w:val="en-US" w:eastAsia="zh-CN"/>
              </w:rPr>
              <w:t>15</w:t>
            </w:r>
            <w:r>
              <w:rPr>
                <w:rFonts w:hint="eastAsia" w:ascii="宋体" w:hAnsi="宋体" w:eastAsia="宋体" w:cs="宋体"/>
                <w:color w:val="auto"/>
                <w:highlight w:val="none"/>
                <w:shd w:val="clear" w:color="auto" w:fill="FFFFFF"/>
              </w:rPr>
              <w:t>分钟。请投标人务必密切关注实时开标流程，完成远程解密、远程签章。</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left="0" w:leftChars="0" w:right="0" w:rightChars="0"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④在开标过程中，因系统故障等导致无法继续进行开标的，投标人须配合等待故障处理，待故障解除后继续开标。</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left="0" w:leftChars="0" w:right="0" w:rightChars="0" w:firstLine="482" w:firstLineChars="200"/>
              <w:textAlignment w:val="auto"/>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val="en-US" w:eastAsia="zh-CN"/>
              </w:rPr>
              <w:t>2.6、水利水电相关专业包括水利水电工程、水利工程施工、水工、水工建筑、水利水电规划、水利工程、农田水利工程、水电站动力设备、水力学及河流动力学、水文水资源、工程地质及水文地质、水利机械等。</w:t>
            </w:r>
          </w:p>
          <w:p>
            <w:pPr>
              <w:pStyle w:val="14"/>
              <w:keepNext w:val="0"/>
              <w:keepLines w:val="0"/>
              <w:pageBreakBefore w:val="0"/>
              <w:widowControl w:val="0"/>
              <w:kinsoku/>
              <w:wordWrap w:val="0"/>
              <w:overflowPunct/>
              <w:topLinePunct w:val="0"/>
              <w:autoSpaceDE/>
              <w:bidi w:val="0"/>
              <w:adjustRightInd/>
              <w:spacing w:beforeAutospacing="0" w:afterAutospacing="0" w:line="500" w:lineRule="exact"/>
              <w:ind w:left="0" w:leftChars="0" w:right="0" w:rightChars="0" w:firstLine="482"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highlight w:val="none"/>
                <w:shd w:val="clear" w:color="auto" w:fill="FFFFFF"/>
                <w:lang w:val="en-US" w:eastAsia="zh-CN"/>
              </w:rPr>
              <w:t>2.7、采用联合体投标的，联合体数量不超过2家。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2146" w:type="dxa"/>
            <w:gridSpan w:val="2"/>
            <w:vAlign w:val="top"/>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b w:val="0"/>
                <w:bCs/>
                <w:color w:val="auto"/>
                <w:sz w:val="24"/>
                <w:szCs w:val="24"/>
                <w:highlight w:val="none"/>
                <w:lang w:val="en-US" w:eastAsia="zh-CN"/>
              </w:rPr>
            </w:pPr>
            <w:r>
              <w:rPr>
                <w:rFonts w:ascii="宋体" w:hAnsi="宋体" w:eastAsia="宋体" w:cs="宋体"/>
                <w:b/>
                <w:color w:val="auto"/>
                <w:sz w:val="24"/>
                <w:szCs w:val="24"/>
                <w:highlight w:val="none"/>
                <w:lang w:eastAsia="zh-CN"/>
              </w:rPr>
              <w:t>备注</w:t>
            </w:r>
          </w:p>
        </w:tc>
        <w:tc>
          <w:tcPr>
            <w:tcW w:w="7176" w:type="dxa"/>
            <w:vAlign w:val="top"/>
          </w:tcPr>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color w:val="auto"/>
                <w:sz w:val="24"/>
                <w:szCs w:val="24"/>
                <w:highlight w:val="none"/>
                <w:lang w:val="en-US" w:eastAsia="zh-CN"/>
              </w:rPr>
            </w:pPr>
            <w:r>
              <w:rPr>
                <w:rFonts w:ascii="宋体" w:hAnsi="宋体" w:eastAsia="宋体" w:cs="宋体"/>
                <w:b/>
                <w:color w:val="auto"/>
                <w:sz w:val="24"/>
                <w:szCs w:val="24"/>
                <w:highlight w:val="none"/>
                <w:lang w:eastAsia="zh-CN"/>
              </w:rPr>
              <w:t>后有投标人须知前附表2，请勿遗漏。</w:t>
            </w:r>
          </w:p>
        </w:tc>
      </w:tr>
    </w:tbl>
    <w:p>
      <w:pPr>
        <w:keepNext w:val="0"/>
        <w:keepLines w:val="0"/>
        <w:pageBreakBefore w:val="0"/>
        <w:widowControl w:val="0"/>
        <w:kinsoku/>
        <w:overflowPunct/>
        <w:topLinePunct w:val="0"/>
        <w:autoSpaceDE/>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1"/>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eastAsia="宋体" w:cs="宋体"/>
          <w:color w:val="auto"/>
          <w:sz w:val="24"/>
          <w:szCs w:val="24"/>
          <w:highlight w:val="none"/>
        </w:rPr>
      </w:pPr>
      <w:r>
        <w:rPr>
          <w:rFonts w:ascii="宋体" w:hAnsi="宋体" w:eastAsia="宋体" w:cs="宋体"/>
          <w:b/>
          <w:color w:val="auto"/>
          <w:sz w:val="28"/>
          <w:szCs w:val="28"/>
          <w:highlight w:val="none"/>
        </w:rPr>
        <w:t>二、投标人须知前附表2</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1"/>
        <w:gridCol w:w="85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5000" w:type="pct"/>
            <w:gridSpan w:val="2"/>
          </w:tcPr>
          <w:p>
            <w:pPr>
              <w:pStyle w:val="21"/>
              <w:keepNext w:val="0"/>
              <w:keepLines w:val="0"/>
              <w:pageBreakBefore w:val="0"/>
              <w:widowControl w:val="0"/>
              <w:kinsoku/>
              <w:overflowPunct/>
              <w:topLinePunct w:val="0"/>
              <w:autoSpaceDE/>
              <w:bidi w:val="0"/>
              <w:adjustRightInd/>
              <w:spacing w:line="500" w:lineRule="exact"/>
              <w:jc w:val="center"/>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tcPr>
          <w:p>
            <w:pPr>
              <w:pStyle w:val="21"/>
              <w:keepNext w:val="0"/>
              <w:keepLines w:val="0"/>
              <w:pageBreakBefore w:val="0"/>
              <w:widowControl w:val="0"/>
              <w:kinsoku/>
              <w:overflowPunct/>
              <w:topLinePunct w:val="0"/>
              <w:autoSpaceDE/>
              <w:bidi w:val="0"/>
              <w:adjustRightInd/>
              <w:spacing w:line="500" w:lineRule="exact"/>
              <w:jc w:val="center"/>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序号</w:t>
            </w:r>
          </w:p>
        </w:tc>
        <w:tc>
          <w:tcPr>
            <w:tcW w:w="4596" w:type="pct"/>
          </w:tcPr>
          <w:p>
            <w:pPr>
              <w:pStyle w:val="21"/>
              <w:keepNext w:val="0"/>
              <w:keepLines w:val="0"/>
              <w:pageBreakBefore w:val="0"/>
              <w:widowControl w:val="0"/>
              <w:kinsoku/>
              <w:overflowPunct/>
              <w:topLinePunct w:val="0"/>
              <w:autoSpaceDE/>
              <w:bidi w:val="0"/>
              <w:adjustRightInd/>
              <w:spacing w:line="500" w:lineRule="exact"/>
              <w:jc w:val="center"/>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8591" w:type="dxa"/>
            <w:vAlign w:val="center"/>
          </w:tcPr>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电子招标投标活动的专门规定适用本项目电子招标投标活动。</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将招标文件</w:t>
            </w:r>
            <w:r>
              <w:rPr>
                <w:rFonts w:ascii="宋体" w:hAnsi="宋体" w:eastAsia="宋体" w:cs="宋体"/>
                <w:bCs/>
                <w:color w:val="auto"/>
                <w:sz w:val="24"/>
                <w:szCs w:val="24"/>
                <w:highlight w:val="none"/>
                <w:u w:val="single"/>
                <w:lang w:eastAsia="zh-CN"/>
              </w:rPr>
              <w:t xml:space="preserve">  /  </w:t>
            </w:r>
            <w:r>
              <w:rPr>
                <w:rFonts w:ascii="宋体" w:hAnsi="宋体" w:eastAsia="宋体" w:cs="宋体"/>
                <w:bCs/>
                <w:color w:val="auto"/>
                <w:sz w:val="24"/>
                <w:szCs w:val="24"/>
                <w:highlight w:val="none"/>
              </w:rPr>
              <w:t>的内容</w:t>
            </w:r>
            <w:r>
              <w:rPr>
                <w:rFonts w:ascii="宋体" w:hAnsi="宋体" w:eastAsia="宋体" w:cs="宋体"/>
                <w:b/>
                <w:color w:val="auto"/>
                <w:sz w:val="24"/>
                <w:szCs w:val="24"/>
                <w:highlight w:val="none"/>
              </w:rPr>
              <w:t>修正为</w:t>
            </w:r>
            <w:r>
              <w:rPr>
                <w:rFonts w:ascii="宋体" w:hAnsi="宋体" w:eastAsia="宋体" w:cs="宋体"/>
                <w:bCs/>
                <w:color w:val="auto"/>
                <w:sz w:val="24"/>
                <w:szCs w:val="24"/>
                <w:highlight w:val="none"/>
              </w:rPr>
              <w:t>下列内容：</w:t>
            </w:r>
            <w:r>
              <w:rPr>
                <w:rFonts w:ascii="宋体" w:hAnsi="宋体" w:eastAsia="宋体" w:cs="宋体"/>
                <w:bCs/>
                <w:color w:val="auto"/>
                <w:sz w:val="24"/>
                <w:szCs w:val="24"/>
                <w:highlight w:val="none"/>
                <w:u w:val="single"/>
                <w:lang w:eastAsia="zh-CN"/>
              </w:rPr>
              <w:t xml:space="preserve">  /  </w:t>
            </w:r>
            <w:r>
              <w:rPr>
                <w:rFonts w:ascii="宋体" w:hAnsi="宋体" w:eastAsia="宋体" w:cs="宋体"/>
                <w:bCs/>
                <w:color w:val="auto"/>
                <w:sz w:val="24"/>
                <w:szCs w:val="24"/>
                <w:highlight w:val="none"/>
              </w:rPr>
              <w:t>后适用本项目的电子招标投标活动。</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将下列内容</w:t>
            </w:r>
            <w:r>
              <w:rPr>
                <w:rFonts w:ascii="宋体" w:hAnsi="宋体" w:eastAsia="宋体" w:cs="宋体"/>
                <w:b/>
                <w:color w:val="auto"/>
                <w:sz w:val="24"/>
                <w:szCs w:val="24"/>
                <w:highlight w:val="none"/>
              </w:rPr>
              <w:t>增列为</w:t>
            </w:r>
            <w:r>
              <w:rPr>
                <w:rFonts w:ascii="宋体" w:hAnsi="宋体" w:eastAsia="宋体" w:cs="宋体"/>
                <w:bCs/>
                <w:color w:val="auto"/>
                <w:sz w:val="24"/>
                <w:szCs w:val="24"/>
                <w:highlight w:val="none"/>
              </w:rPr>
              <w:t>招标文件的组成部分</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以下简称：“增列内容”</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适用本项目的电子招标投标活动，若增列内容与招标文件其他章节内容有冲突，应以增列内容为准：</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①电子招标投标活动的具体操作流程以福建省政府采购网上公开信息系统设定的为准。</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②关于电子投标文件：</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
                <w:color w:val="auto"/>
                <w:sz w:val="24"/>
                <w:szCs w:val="24"/>
                <w:highlight w:val="none"/>
              </w:rPr>
            </w:pPr>
            <w:r>
              <w:rPr>
                <w:rFonts w:ascii="宋体" w:hAnsi="宋体" w:eastAsia="宋体" w:cs="宋体"/>
                <w:bCs/>
                <w:color w:val="auto"/>
                <w:sz w:val="24"/>
                <w:szCs w:val="24"/>
                <w:highlight w:val="none"/>
              </w:rPr>
              <w:t>a.投标人应按照福建省政府采购网上公开信息系统设定的评审节点编制电子投标文件，</w:t>
            </w:r>
            <w:r>
              <w:rPr>
                <w:rFonts w:ascii="宋体" w:hAnsi="宋体" w:eastAsia="宋体" w:cs="宋体"/>
                <w:b/>
                <w:color w:val="auto"/>
                <w:sz w:val="24"/>
                <w:szCs w:val="24"/>
                <w:highlight w:val="none"/>
              </w:rPr>
              <w:t>否则资格审查小组、评标委员会将按照不利于投标人的内容进行认定。</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b.投标人应在投标截止时间前按照福建省政府采购网上公开信息系统设定的操作流程将电子投标文件</w:t>
            </w:r>
            <w:r>
              <w:rPr>
                <w:rFonts w:ascii="宋体" w:hAnsi="宋体" w:eastAsia="宋体" w:cs="宋体"/>
                <w:b/>
                <w:color w:val="auto"/>
                <w:sz w:val="24"/>
                <w:szCs w:val="24"/>
                <w:highlight w:val="none"/>
                <w:u w:val="single"/>
                <w:lang w:eastAsia="zh-CN"/>
              </w:rPr>
              <w:t xml:space="preserve">  1  </w:t>
            </w:r>
            <w:r>
              <w:rPr>
                <w:rFonts w:ascii="宋体" w:hAnsi="宋体" w:eastAsia="宋体" w:cs="宋体"/>
                <w:bCs/>
                <w:color w:val="auto"/>
                <w:sz w:val="24"/>
                <w:szCs w:val="24"/>
                <w:highlight w:val="none"/>
              </w:rPr>
              <w:t>份上传至福建省政府采购网上公开信息系统。电子投标文件的分项报价一览表、投标客户端的分项报价一览表应保持一致，并以投标客户端的分项报价一览表为准。</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③关于证明材料或资料：</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a.招标文件要求原件的，投标人在电子投标文件中可提供复印件</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含扫描件</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，但同时应准备好原件备查</w:t>
            </w:r>
            <w:r>
              <w:rPr>
                <w:rFonts w:hint="eastAsia" w:ascii="宋体" w:hAnsi="宋体" w:eastAsia="宋体" w:cs="宋体"/>
                <w:b/>
                <w:color w:val="auto"/>
                <w:sz w:val="24"/>
                <w:szCs w:val="24"/>
                <w:highlight w:val="none"/>
                <w:lang w:eastAsia="zh-CN"/>
              </w:rPr>
              <w:t>（</w:t>
            </w:r>
            <w:r>
              <w:rPr>
                <w:rFonts w:ascii="宋体" w:hAnsi="宋体" w:eastAsia="宋体" w:cs="宋体"/>
                <w:b/>
                <w:color w:val="auto"/>
                <w:sz w:val="24"/>
                <w:szCs w:val="24"/>
                <w:highlight w:val="none"/>
              </w:rPr>
              <w:t>未能在规定时间内提供原件核查的，将按不利于投标人进行评审</w:t>
            </w:r>
            <w:r>
              <w:rPr>
                <w:rFonts w:hint="eastAsia" w:ascii="宋体" w:hAnsi="宋体" w:eastAsia="宋体" w:cs="宋体"/>
                <w:b/>
                <w:color w:val="auto"/>
                <w:sz w:val="24"/>
                <w:szCs w:val="24"/>
                <w:highlight w:val="none"/>
                <w:lang w:eastAsia="zh-CN"/>
              </w:rPr>
              <w:t>）</w:t>
            </w:r>
            <w:r>
              <w:rPr>
                <w:rFonts w:ascii="宋体" w:hAnsi="宋体" w:eastAsia="宋体" w:cs="宋体"/>
                <w:bCs/>
                <w:color w:val="auto"/>
                <w:sz w:val="24"/>
                <w:szCs w:val="24"/>
                <w:highlight w:val="none"/>
              </w:rPr>
              <w:t>；招标文件要求复印件的，投标人在电子投标文件中提供原件、复印件</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含扫描件</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皆可；招标文件对原件、复印件未作要求的，投标人在电子投标文件中提供原件、复印件</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含扫描件</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皆可。</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b.若投标人提供注明“复印件无效”或“复印无效”的证明材料或资料，应结合上文a条款进行判定，若招标文件未要求投标人提供原件，投标人提供原件，复印件</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含扫描件</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均视为满足招标文件要求。</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④关于“全称”、“投标人代表签字”及“加盖单位公章”：</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a.在电子投标文件中，涉及“全称”和“投标人代表签字”的内容可使用打字录入方式完成。</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b.在电子投标文件中，涉及“加盖单位公章”的内容应使用投标人的CA证书完成，</w:t>
            </w:r>
            <w:r>
              <w:rPr>
                <w:rFonts w:ascii="宋体" w:hAnsi="宋体" w:eastAsia="宋体" w:cs="宋体"/>
                <w:b/>
                <w:color w:val="auto"/>
                <w:sz w:val="24"/>
                <w:szCs w:val="24"/>
                <w:highlight w:val="none"/>
              </w:rPr>
              <w:t>否则投标无效。</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c.在电子投标文件中，若投标人按照本增列内容第④点第b项规定加盖其单位公章，则出现无全称、或投标人代表未签字等情形，</w:t>
            </w:r>
            <w:r>
              <w:rPr>
                <w:rFonts w:ascii="宋体" w:hAnsi="宋体" w:eastAsia="宋体" w:cs="宋体"/>
                <w:b/>
                <w:color w:val="auto"/>
                <w:sz w:val="24"/>
                <w:szCs w:val="24"/>
                <w:highlight w:val="none"/>
              </w:rPr>
              <w:t>不视为投标无效。</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⑤关于投标人的CA证书：</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a.投标人的CA证书应在系统规定时间内使用CA证书进行电子投标文件的解密操作，逾期未解密的视为放弃投标。</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b.投标人的CA证书可采用信封</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包括但不限于：信封、档案袋、文件袋等</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作为外包装进行单独包装。外包装密封、不密封皆可。</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c.投标人的CA证书或外包装应标记“项目名称、项目编号、投标人的全称”等内容，以方便识别、使用。</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d.投标人的CA证书应能正常、有效使用，否则产生不利后果由投标人承担责任。</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⑥关于投标截止时间过后</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a.未按招标文件规定提交投标保证金的，</w:t>
            </w:r>
            <w:r>
              <w:rPr>
                <w:rFonts w:ascii="宋体" w:hAnsi="宋体" w:eastAsia="宋体" w:cs="宋体"/>
                <w:b/>
                <w:color w:val="auto"/>
                <w:sz w:val="24"/>
                <w:szCs w:val="24"/>
                <w:highlight w:val="none"/>
              </w:rPr>
              <w:t>其投标将按无效投标处理。</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b.有下列情形之一的，</w:t>
            </w:r>
            <w:r>
              <w:rPr>
                <w:rFonts w:ascii="宋体" w:hAnsi="宋体" w:eastAsia="宋体" w:cs="宋体"/>
                <w:b/>
                <w:color w:val="auto"/>
                <w:sz w:val="24"/>
                <w:szCs w:val="24"/>
                <w:highlight w:val="none"/>
              </w:rPr>
              <w:t>其投标无效</w:t>
            </w:r>
            <w:r>
              <w:rPr>
                <w:rFonts w:ascii="宋体" w:hAnsi="宋体" w:eastAsia="宋体" w:cs="宋体"/>
                <w:b/>
                <w:color w:val="auto"/>
                <w:sz w:val="24"/>
                <w:szCs w:val="24"/>
                <w:highlight w:val="none"/>
                <w:lang w:eastAsia="zh-CN"/>
              </w:rPr>
              <w:t>，</w:t>
            </w:r>
            <w:r>
              <w:rPr>
                <w:rFonts w:ascii="宋体" w:hAnsi="宋体" w:eastAsia="宋体" w:cs="宋体"/>
                <w:bCs/>
                <w:color w:val="auto"/>
                <w:sz w:val="24"/>
                <w:szCs w:val="24"/>
                <w:highlight w:val="none"/>
              </w:rPr>
              <w:t>其保证金不予退还或通过投标保函进行索赔：</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b1不同投标人的电子投标文件具有相同内部识别码；</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b2不同投标人的投标保证金从同一单位或个人的账户转出；</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b3投标人的投标保证金同一采购包下有其他投标人提交的投标保证金；</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b4不同投标人存在串通投标的其他情形。</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⑦接受联合体投标且投标人为联合体的，投标人应由“联合体牵头方”完成福建省政府采购网上公开信息系统设定的具体操作流程</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包括但不限于：招标文件获取、提交投标保证金、编制电子投标文件等</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w:t>
            </w:r>
          </w:p>
          <w:p>
            <w:pPr>
              <w:pStyle w:val="21"/>
              <w:keepNext w:val="0"/>
              <w:keepLines w:val="0"/>
              <w:pageBreakBefore w:val="0"/>
              <w:widowControl w:val="0"/>
              <w:kinsoku/>
              <w:overflowPunct/>
              <w:topLinePunct w:val="0"/>
              <w:autoSpaceDE/>
              <w:bidi w:val="0"/>
              <w:adjustRightInd/>
              <w:spacing w:line="500" w:lineRule="exact"/>
              <w:ind w:firstLine="480" w:firstLineChars="200"/>
              <w:jc w:val="both"/>
              <w:textAlignment w:val="auto"/>
              <w:rPr>
                <w:rFonts w:ascii="宋体" w:hAnsi="宋体" w:eastAsia="宋体" w:cs="宋体"/>
                <w:color w:val="auto"/>
                <w:sz w:val="24"/>
                <w:szCs w:val="24"/>
                <w:highlight w:val="none"/>
              </w:rPr>
            </w:pPr>
            <w:r>
              <w:rPr>
                <w:rFonts w:ascii="宋体" w:hAnsi="宋体" w:eastAsia="宋体" w:cs="宋体"/>
                <w:bCs/>
                <w:color w:val="auto"/>
                <w:sz w:val="24"/>
                <w:szCs w:val="24"/>
                <w:highlight w:val="none"/>
              </w:rPr>
              <w:t>⑧其他：电子化招标、非招标项目视为串通情形的认定及处理的相关条款详见《关于福建省财政厅关于电子化政府采购项目中视为串标情形认定与处理的指导意见》</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闽财购[201</w:t>
            </w:r>
            <w:r>
              <w:rPr>
                <w:rFonts w:ascii="宋体" w:hAnsi="宋体" w:eastAsia="宋体" w:cs="宋体"/>
                <w:bCs/>
                <w:color w:val="auto"/>
                <w:sz w:val="24"/>
                <w:szCs w:val="24"/>
                <w:highlight w:val="none"/>
                <w:lang w:eastAsia="zh-CN"/>
              </w:rPr>
              <w:t>8</w:t>
            </w:r>
            <w:r>
              <w:rPr>
                <w:rFonts w:ascii="宋体" w:hAnsi="宋体" w:eastAsia="宋体" w:cs="宋体"/>
                <w:bCs/>
                <w:color w:val="auto"/>
                <w:sz w:val="24"/>
                <w:szCs w:val="24"/>
                <w:highlight w:val="none"/>
              </w:rPr>
              <w:t>]30号</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文件。</w:t>
            </w:r>
          </w:p>
        </w:tc>
      </w:tr>
    </w:tbl>
    <w:p>
      <w:pPr>
        <w:keepNext w:val="0"/>
        <w:keepLines w:val="0"/>
        <w:pageBreakBefore w:val="0"/>
        <w:widowControl w:val="0"/>
        <w:kinsoku/>
        <w:overflowPunct/>
        <w:topLinePunct w:val="0"/>
        <w:autoSpaceDE/>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宋体" w:hAnsi="宋体" w:eastAsia="宋体" w:cs="宋体"/>
          <w:color w:val="auto"/>
          <w:sz w:val="24"/>
          <w:szCs w:val="24"/>
          <w:highlight w:val="none"/>
        </w:rPr>
      </w:pPr>
      <w:bookmarkStart w:id="4" w:name="_Toc12486"/>
      <w:r>
        <w:rPr>
          <w:rFonts w:hint="eastAsia" w:ascii="宋体" w:hAnsi="宋体" w:eastAsia="宋体" w:cs="宋体"/>
          <w:b/>
          <w:color w:val="auto"/>
          <w:sz w:val="32"/>
          <w:szCs w:val="32"/>
          <w:highlight w:val="none"/>
        </w:rPr>
        <w:t>第三章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投标人</w:t>
      </w:r>
      <w:r>
        <w:rPr>
          <w:rFonts w:hint="eastAsia" w:ascii="宋体" w:hAnsi="宋体" w:eastAsia="宋体" w:cs="宋体"/>
          <w:b/>
          <w:color w:val="auto"/>
          <w:sz w:val="32"/>
          <w:szCs w:val="32"/>
          <w:highlight w:val="none"/>
        </w:rPr>
        <w:t>须知</w:t>
      </w:r>
      <w:bookmarkEnd w:id="4"/>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val="0"/>
          <w:bCs/>
          <w:color w:val="auto"/>
          <w:sz w:val="24"/>
          <w:szCs w:val="24"/>
          <w:highlight w:val="none"/>
        </w:rPr>
      </w:pPr>
      <w:bookmarkStart w:id="5" w:name="_Toc7033"/>
      <w:r>
        <w:rPr>
          <w:rFonts w:hint="eastAsia" w:ascii="宋体" w:hAnsi="宋体" w:eastAsia="宋体" w:cs="宋体"/>
          <w:b/>
          <w:bCs w:val="0"/>
          <w:color w:val="auto"/>
          <w:sz w:val="28"/>
          <w:szCs w:val="28"/>
          <w:highlight w:val="none"/>
        </w:rPr>
        <w:t>一、总则</w:t>
      </w:r>
      <w:bookmarkEnd w:id="5"/>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Cs/>
          <w:color w:val="auto"/>
          <w:sz w:val="24"/>
          <w:szCs w:val="24"/>
          <w:highlight w:val="none"/>
        </w:rPr>
      </w:pPr>
      <w:r>
        <w:rPr>
          <w:rFonts w:ascii="宋体" w:hAnsi="宋体" w:eastAsia="宋体" w:cs="宋体"/>
          <w:b/>
          <w:color w:val="auto"/>
          <w:sz w:val="24"/>
          <w:szCs w:val="24"/>
          <w:highlight w:val="none"/>
        </w:rPr>
        <w:t>1、适用范围</w:t>
      </w:r>
    </w:p>
    <w:p>
      <w:pPr>
        <w:pStyle w:val="21"/>
        <w:keepNext w:val="0"/>
        <w:keepLines w:val="0"/>
        <w:pageBreakBefore w:val="0"/>
        <w:widowControl w:val="0"/>
        <w:kinsoku/>
        <w:overflowPunct/>
        <w:topLinePunct w:val="0"/>
        <w:autoSpaceDE/>
        <w:bidi w:val="0"/>
        <w:adjustRightInd/>
        <w:spacing w:line="500" w:lineRule="exact"/>
        <w:ind w:firstLine="48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1.1</w:t>
      </w:r>
      <w:r>
        <w:rPr>
          <w:rFonts w:ascii="宋体" w:hAnsi="宋体" w:eastAsia="宋体" w:cs="宋体"/>
          <w:bCs/>
          <w:color w:val="auto"/>
          <w:sz w:val="24"/>
          <w:szCs w:val="24"/>
          <w:highlight w:val="none"/>
          <w:lang w:eastAsia="zh-CN"/>
        </w:rPr>
        <w:t xml:space="preserve"> </w:t>
      </w:r>
      <w:r>
        <w:rPr>
          <w:rFonts w:ascii="宋体" w:hAnsi="宋体" w:eastAsia="宋体" w:cs="宋体"/>
          <w:bCs/>
          <w:color w:val="auto"/>
          <w:sz w:val="24"/>
          <w:szCs w:val="24"/>
          <w:highlight w:val="none"/>
        </w:rPr>
        <w:t>适用于招标文件载明项目的政府采购活动</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以下简称：“本次采购活动”</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w:t>
      </w:r>
    </w:p>
    <w:p>
      <w:pPr>
        <w:pStyle w:val="21"/>
        <w:keepNext w:val="0"/>
        <w:keepLines w:val="0"/>
        <w:pageBreakBefore w:val="0"/>
        <w:widowControl w:val="0"/>
        <w:kinsoku/>
        <w:overflowPunct/>
        <w:topLinePunct w:val="0"/>
        <w:autoSpaceDE/>
        <w:bidi w:val="0"/>
        <w:adjustRightInd/>
        <w:spacing w:line="500" w:lineRule="exact"/>
        <w:jc w:val="both"/>
        <w:textAlignment w:val="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2、定义</w:t>
      </w:r>
    </w:p>
    <w:p>
      <w:pPr>
        <w:pStyle w:val="21"/>
        <w:keepNext w:val="0"/>
        <w:keepLines w:val="0"/>
        <w:pageBreakBefore w:val="0"/>
        <w:widowControl w:val="0"/>
        <w:kinsoku/>
        <w:overflowPunct/>
        <w:topLinePunct w:val="0"/>
        <w:autoSpaceDE/>
        <w:bidi w:val="0"/>
        <w:adjustRightInd/>
        <w:spacing w:line="500" w:lineRule="exact"/>
        <w:ind w:firstLine="48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2.1</w:t>
      </w:r>
      <w:r>
        <w:rPr>
          <w:rFonts w:ascii="宋体" w:hAnsi="宋体" w:eastAsia="宋体" w:cs="宋体"/>
          <w:bCs/>
          <w:color w:val="auto"/>
          <w:sz w:val="24"/>
          <w:szCs w:val="24"/>
          <w:highlight w:val="none"/>
          <w:lang w:eastAsia="zh-CN"/>
        </w:rPr>
        <w:t xml:space="preserve"> </w:t>
      </w:r>
      <w:r>
        <w:rPr>
          <w:rFonts w:ascii="宋体" w:hAnsi="宋体" w:eastAsia="宋体" w:cs="宋体"/>
          <w:bCs/>
          <w:color w:val="auto"/>
          <w:sz w:val="24"/>
          <w:szCs w:val="24"/>
          <w:highlight w:val="none"/>
        </w:rPr>
        <w:t>“采购标的”指招标文件载明的需要采购的货物或服务。</w:t>
      </w:r>
    </w:p>
    <w:p>
      <w:pPr>
        <w:pStyle w:val="21"/>
        <w:keepNext w:val="0"/>
        <w:keepLines w:val="0"/>
        <w:pageBreakBefore w:val="0"/>
        <w:widowControl w:val="0"/>
        <w:kinsoku/>
        <w:overflowPunct/>
        <w:topLinePunct w:val="0"/>
        <w:autoSpaceDE/>
        <w:bidi w:val="0"/>
        <w:adjustRightInd/>
        <w:spacing w:line="500" w:lineRule="exact"/>
        <w:ind w:firstLine="48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2.2</w:t>
      </w:r>
      <w:r>
        <w:rPr>
          <w:rFonts w:ascii="宋体" w:hAnsi="宋体" w:eastAsia="宋体" w:cs="宋体"/>
          <w:bCs/>
          <w:color w:val="auto"/>
          <w:sz w:val="24"/>
          <w:szCs w:val="24"/>
          <w:highlight w:val="none"/>
          <w:lang w:eastAsia="zh-CN"/>
        </w:rPr>
        <w:t xml:space="preserve"> </w:t>
      </w:r>
      <w:r>
        <w:rPr>
          <w:rFonts w:ascii="宋体" w:hAnsi="宋体" w:eastAsia="宋体" w:cs="宋体"/>
          <w:bCs/>
          <w:color w:val="auto"/>
          <w:sz w:val="24"/>
          <w:szCs w:val="24"/>
          <w:highlight w:val="none"/>
        </w:rPr>
        <w:t>“潜在投标人”指按照招标文件第一章第7条规定获取招标文件且有意向参加本项目投标的</w:t>
      </w:r>
      <w:r>
        <w:rPr>
          <w:rFonts w:ascii="宋体" w:hAnsi="宋体" w:eastAsia="宋体" w:cs="宋体"/>
          <w:bCs/>
          <w:color w:val="auto"/>
          <w:sz w:val="24"/>
          <w:szCs w:val="24"/>
          <w:highlight w:val="none"/>
          <w:lang w:eastAsia="zh-CN"/>
        </w:rPr>
        <w:t>投标人</w:t>
      </w:r>
      <w:r>
        <w:rPr>
          <w:rFonts w:ascii="宋体" w:hAnsi="宋体" w:eastAsia="宋体" w:cs="宋体"/>
          <w:bCs/>
          <w:color w:val="auto"/>
          <w:sz w:val="24"/>
          <w:szCs w:val="24"/>
          <w:highlight w:val="none"/>
        </w:rPr>
        <w:t>。</w:t>
      </w:r>
    </w:p>
    <w:p>
      <w:pPr>
        <w:pStyle w:val="21"/>
        <w:keepNext w:val="0"/>
        <w:keepLines w:val="0"/>
        <w:pageBreakBefore w:val="0"/>
        <w:widowControl w:val="0"/>
        <w:kinsoku/>
        <w:overflowPunct/>
        <w:topLinePunct w:val="0"/>
        <w:autoSpaceDE/>
        <w:bidi w:val="0"/>
        <w:adjustRightInd/>
        <w:spacing w:line="500" w:lineRule="exact"/>
        <w:ind w:firstLine="48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2.3</w:t>
      </w:r>
      <w:r>
        <w:rPr>
          <w:rFonts w:ascii="宋体" w:hAnsi="宋体" w:eastAsia="宋体" w:cs="宋体"/>
          <w:bCs/>
          <w:color w:val="auto"/>
          <w:sz w:val="24"/>
          <w:szCs w:val="24"/>
          <w:highlight w:val="none"/>
          <w:lang w:eastAsia="zh-CN"/>
        </w:rPr>
        <w:t xml:space="preserve"> </w:t>
      </w:r>
      <w:r>
        <w:rPr>
          <w:rFonts w:ascii="宋体" w:hAnsi="宋体" w:eastAsia="宋体" w:cs="宋体"/>
          <w:bCs/>
          <w:color w:val="auto"/>
          <w:sz w:val="24"/>
          <w:szCs w:val="24"/>
          <w:highlight w:val="none"/>
        </w:rPr>
        <w:t>“投标人”指按照招标文件第一章第7条规定获取招标文件并参加本项目投标的</w:t>
      </w:r>
      <w:r>
        <w:rPr>
          <w:rFonts w:ascii="宋体" w:hAnsi="宋体" w:eastAsia="宋体" w:cs="宋体"/>
          <w:bCs/>
          <w:color w:val="auto"/>
          <w:sz w:val="24"/>
          <w:szCs w:val="24"/>
          <w:highlight w:val="none"/>
          <w:lang w:eastAsia="zh-CN"/>
        </w:rPr>
        <w:t>投标人</w:t>
      </w:r>
      <w:r>
        <w:rPr>
          <w:rFonts w:ascii="宋体" w:hAnsi="宋体" w:eastAsia="宋体" w:cs="宋体"/>
          <w:bCs/>
          <w:color w:val="auto"/>
          <w:sz w:val="24"/>
          <w:szCs w:val="24"/>
          <w:highlight w:val="none"/>
        </w:rPr>
        <w:t>。</w:t>
      </w:r>
    </w:p>
    <w:p>
      <w:pPr>
        <w:pStyle w:val="21"/>
        <w:keepNext w:val="0"/>
        <w:keepLines w:val="0"/>
        <w:pageBreakBefore w:val="0"/>
        <w:widowControl w:val="0"/>
        <w:kinsoku/>
        <w:overflowPunct/>
        <w:topLinePunct w:val="0"/>
        <w:autoSpaceDE/>
        <w:bidi w:val="0"/>
        <w:adjustRightInd/>
        <w:spacing w:line="500" w:lineRule="exact"/>
        <w:ind w:firstLine="480"/>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2.4</w:t>
      </w:r>
      <w:r>
        <w:rPr>
          <w:rFonts w:ascii="宋体" w:hAnsi="宋体" w:eastAsia="宋体" w:cs="宋体"/>
          <w:bCs/>
          <w:color w:val="auto"/>
          <w:sz w:val="24"/>
          <w:szCs w:val="24"/>
          <w:highlight w:val="none"/>
          <w:lang w:eastAsia="zh-CN"/>
        </w:rPr>
        <w:t xml:space="preserve"> </w:t>
      </w:r>
      <w:r>
        <w:rPr>
          <w:rFonts w:ascii="宋体" w:hAnsi="宋体" w:eastAsia="宋体" w:cs="宋体"/>
          <w:bCs/>
          <w:color w:val="auto"/>
          <w:sz w:val="24"/>
          <w:szCs w:val="24"/>
          <w:highlight w:val="none"/>
        </w:rPr>
        <w:t>“单位负责人”指单位法定代表人或法律、法规规定代表单位行使职权的主要负责人。</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ascii="宋体" w:hAnsi="宋体" w:eastAsia="宋体" w:cs="宋体"/>
          <w:bCs/>
          <w:color w:val="auto"/>
          <w:sz w:val="24"/>
          <w:szCs w:val="24"/>
          <w:highlight w:val="none"/>
        </w:rPr>
        <w:t>2.5</w:t>
      </w:r>
      <w:r>
        <w:rPr>
          <w:rFonts w:ascii="宋体" w:hAnsi="宋体" w:eastAsia="宋体" w:cs="宋体"/>
          <w:bCs/>
          <w:color w:val="auto"/>
          <w:sz w:val="24"/>
          <w:szCs w:val="24"/>
          <w:highlight w:val="none"/>
          <w:lang w:eastAsia="zh-CN"/>
        </w:rPr>
        <w:t xml:space="preserve"> </w:t>
      </w:r>
      <w:r>
        <w:rPr>
          <w:rFonts w:ascii="宋体" w:hAnsi="宋体" w:eastAsia="宋体" w:cs="宋体"/>
          <w:bCs/>
          <w:color w:val="auto"/>
          <w:sz w:val="24"/>
          <w:szCs w:val="24"/>
          <w:highlight w:val="none"/>
        </w:rPr>
        <w:t>“投标人代表”指投标人的单位负责人或“单位负责人授权书”中载明的接受授权方</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val="0"/>
          <w:bCs/>
          <w:color w:val="auto"/>
          <w:sz w:val="24"/>
          <w:szCs w:val="24"/>
          <w:highlight w:val="none"/>
          <w:lang w:eastAsia="zh-CN"/>
        </w:rPr>
      </w:pPr>
      <w:bookmarkStart w:id="6" w:name="_Toc22054"/>
      <w:r>
        <w:rPr>
          <w:rFonts w:hint="eastAsia" w:ascii="宋体" w:hAnsi="宋体" w:eastAsia="宋体" w:cs="宋体"/>
          <w:b/>
          <w:bCs w:val="0"/>
          <w:color w:val="auto"/>
          <w:sz w:val="28"/>
          <w:szCs w:val="28"/>
          <w:highlight w:val="none"/>
        </w:rPr>
        <w:t>二、</w:t>
      </w:r>
      <w:r>
        <w:rPr>
          <w:rFonts w:hint="eastAsia" w:ascii="宋体" w:hAnsi="宋体" w:eastAsia="宋体" w:cs="宋体"/>
          <w:b/>
          <w:bCs w:val="0"/>
          <w:color w:val="auto"/>
          <w:sz w:val="28"/>
          <w:szCs w:val="28"/>
          <w:highlight w:val="none"/>
          <w:lang w:eastAsia="zh-CN"/>
        </w:rPr>
        <w:t>投标人</w:t>
      </w:r>
      <w:bookmarkEnd w:id="6"/>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rPr>
        <w:t>3、合格</w:t>
      </w:r>
      <w:r>
        <w:rPr>
          <w:rFonts w:hint="eastAsia" w:ascii="宋体" w:hAnsi="宋体" w:eastAsia="宋体" w:cs="宋体"/>
          <w:b/>
          <w:bCs w:val="0"/>
          <w:color w:val="auto"/>
          <w:sz w:val="24"/>
          <w:szCs w:val="24"/>
          <w:highlight w:val="none"/>
          <w:lang w:eastAsia="zh-CN"/>
        </w:rPr>
        <w:t>投标人</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一般规定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投标人的资格要求：详见招标文件第一章</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若本项目接受联合体投标且投标人为联合体，则联合体各方应遵守本章第3.1条规定，同时还应遵守下列规定：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联合体各方应提交联合体协议，联合体协议应符合招标文件规定。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联合体各方不得再单独参加或与其他供应商另外组成联合体参加同一合同项下的投标。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联合体各方应共同与采购人签订政府采购合同，就政府采购合同约定的事项对采购人承担连带责任。</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联合体一方放弃中标的，视为联合体整体放弃中标，联合体各方承担连带责任。</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如本项目不接受联合体投标而投标人为联合体的，或者本项目接受联合体投标但投标人组成的联合体不符合本章第3.2条规定的，</w:t>
      </w:r>
      <w:r>
        <w:rPr>
          <w:rFonts w:hint="eastAsia" w:ascii="宋体" w:hAnsi="宋体" w:eastAsia="宋体" w:cs="宋体"/>
          <w:b/>
          <w:bCs/>
          <w:color w:val="auto"/>
          <w:sz w:val="24"/>
          <w:szCs w:val="24"/>
          <w:highlight w:val="none"/>
        </w:rPr>
        <w:t>投标无效。</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4、投标费用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除招标文件另有规定外，投标人应自行承担其参加本项目投标所涉及的一切费用</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val="0"/>
          <w:bCs/>
          <w:color w:val="auto"/>
          <w:sz w:val="24"/>
          <w:szCs w:val="24"/>
          <w:highlight w:val="none"/>
        </w:rPr>
      </w:pPr>
      <w:bookmarkStart w:id="7" w:name="_Toc5186"/>
      <w:r>
        <w:rPr>
          <w:rFonts w:hint="eastAsia" w:ascii="宋体" w:hAnsi="宋体" w:eastAsia="宋体" w:cs="宋体"/>
          <w:b/>
          <w:bCs w:val="0"/>
          <w:color w:val="auto"/>
          <w:sz w:val="28"/>
          <w:szCs w:val="28"/>
          <w:highlight w:val="none"/>
        </w:rPr>
        <w:t>三、招标</w:t>
      </w:r>
      <w:bookmarkEnd w:id="7"/>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rPr>
        <w:t>5、</w:t>
      </w:r>
      <w:r>
        <w:rPr>
          <w:rFonts w:hint="eastAsia" w:ascii="宋体" w:hAnsi="宋体" w:eastAsia="宋体" w:cs="宋体"/>
          <w:b/>
          <w:bCs w:val="0"/>
          <w:color w:val="auto"/>
          <w:sz w:val="24"/>
          <w:szCs w:val="24"/>
          <w:highlight w:val="none"/>
          <w:lang w:eastAsia="zh-CN"/>
        </w:rPr>
        <w:t>招标文件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由下述部分组成：</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投标邀请</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表1、2</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资格审查与评标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招标内容及要求</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参考文本</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电子投标文件格式</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按照招标文件规定作为招标文件组成部分的其他内容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的澄清或修改</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可对已发出的招标文件进行必要的澄清或修改，但不得对招标文件载明的采购标的和投标人的资格要求进行改变。</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除本章第5.2条第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款规定情形外，澄清或修改的内容可能影响电子投标文件编制的，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将在投标截止时间至少15个日历日前，在招标文件载明的指定媒体以更正公告的形式发布澄清或修改的内容。不足15个日历日的，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将顺延投标截止时间及开标时间，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和投标人受原投标截止时间及开标时间制约的所有权利和义务均延长至新的投标截止时间及开标时间。</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澄清或修改的内容可能改变招标文件载明的采购标的和投标人的资格要求的，本次采购活动结束，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将依法组织后续采购活动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包括但不限于：重新招标、采用其他方式采购等</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6、现场考察或开标前答疑会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是否组织现场考察或召开开标前答疑会：详见招标文件第二章</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7、更正公告</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发布更正公告，则更正公告及其所发布的内容或信息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包括但不限于：招标文件的澄清或修改、现场考察或答疑会的有关事宜等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作为招标文件组成部分，对投标人具有约束力</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更正公告作为</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通知所有潜在投标人的书面形式</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8、终止公告</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若出现因重大变故导致采购任务取消情形，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可终止招标并发布终止公告</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终止公告作为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通知所有潜在投标人的书面形式</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val="0"/>
          <w:bCs/>
          <w:color w:val="auto"/>
          <w:sz w:val="24"/>
          <w:szCs w:val="24"/>
          <w:highlight w:val="none"/>
        </w:rPr>
      </w:pPr>
      <w:bookmarkStart w:id="8" w:name="_Toc13369"/>
      <w:r>
        <w:rPr>
          <w:rFonts w:hint="eastAsia" w:ascii="宋体" w:hAnsi="宋体" w:eastAsia="宋体" w:cs="宋体"/>
          <w:b/>
          <w:bCs w:val="0"/>
          <w:color w:val="auto"/>
          <w:sz w:val="28"/>
          <w:szCs w:val="28"/>
          <w:highlight w:val="none"/>
        </w:rPr>
        <w:t>四、投标</w:t>
      </w:r>
      <w:bookmarkEnd w:id="8"/>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9、投标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投标人可对招标文件载明的全部或部分采购包进行投标</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投标人应对同一个采购包内的所有内容进行完整投标</w:t>
      </w:r>
      <w:r>
        <w:rPr>
          <w:rFonts w:hint="eastAsia" w:ascii="宋体" w:hAnsi="宋体" w:eastAsia="宋体" w:cs="宋体"/>
          <w:b w:val="0"/>
          <w:bCs/>
          <w:color w:val="auto"/>
          <w:sz w:val="24"/>
          <w:szCs w:val="24"/>
          <w:highlight w:val="none"/>
        </w:rPr>
        <w:t>，</w:t>
      </w:r>
      <w:r>
        <w:rPr>
          <w:rFonts w:hint="eastAsia" w:ascii="宋体" w:hAnsi="宋体" w:eastAsia="宋体" w:cs="宋体"/>
          <w:b/>
          <w:bCs w:val="0"/>
          <w:color w:val="auto"/>
          <w:sz w:val="24"/>
          <w:szCs w:val="24"/>
          <w:highlight w:val="none"/>
        </w:rPr>
        <w:t>否则投标无效。</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投标人代表只能接受一个投标人的授权参加投标</w:t>
      </w:r>
      <w:r>
        <w:rPr>
          <w:rFonts w:hint="eastAsia" w:ascii="宋体" w:hAnsi="宋体" w:eastAsia="宋体" w:cs="宋体"/>
          <w:b w:val="0"/>
          <w:bCs/>
          <w:color w:val="auto"/>
          <w:sz w:val="24"/>
          <w:szCs w:val="24"/>
          <w:highlight w:val="none"/>
        </w:rPr>
        <w:t>，</w:t>
      </w:r>
      <w:r>
        <w:rPr>
          <w:rFonts w:hint="eastAsia" w:ascii="宋体" w:hAnsi="宋体" w:eastAsia="宋体" w:cs="宋体"/>
          <w:b/>
          <w:bCs w:val="0"/>
          <w:color w:val="auto"/>
          <w:sz w:val="24"/>
          <w:szCs w:val="24"/>
          <w:highlight w:val="none"/>
        </w:rPr>
        <w:t>否则投标无效。</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9.4</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单位负责人为同一人或存在直接控股、管理关系的不同供应商，不得同时参加同一合同项下的投标</w:t>
      </w:r>
      <w:r>
        <w:rPr>
          <w:rFonts w:hint="eastAsia" w:ascii="宋体" w:hAnsi="宋体" w:eastAsia="宋体" w:cs="宋体"/>
          <w:b w:val="0"/>
          <w:bCs/>
          <w:color w:val="auto"/>
          <w:sz w:val="24"/>
          <w:szCs w:val="24"/>
          <w:highlight w:val="none"/>
        </w:rPr>
        <w:t>，</w:t>
      </w:r>
      <w:r>
        <w:rPr>
          <w:rFonts w:hint="eastAsia" w:ascii="宋体" w:hAnsi="宋体" w:eastAsia="宋体" w:cs="宋体"/>
          <w:b/>
          <w:bCs w:val="0"/>
          <w:color w:val="auto"/>
          <w:sz w:val="24"/>
          <w:szCs w:val="24"/>
          <w:highlight w:val="none"/>
        </w:rPr>
        <w:t>否则投标无效。</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9.5</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为本项目提供整体设计、规范编制或项目管理、监理、检测等服务的供应商，不得参加本项目除整体设计、规范编制和项目管理、监理、检测等服务外的采购活动</w:t>
      </w:r>
      <w:r>
        <w:rPr>
          <w:rFonts w:hint="eastAsia" w:ascii="宋体" w:hAnsi="宋体" w:eastAsia="宋体" w:cs="宋体"/>
          <w:b w:val="0"/>
          <w:bCs/>
          <w:color w:val="auto"/>
          <w:sz w:val="24"/>
          <w:szCs w:val="24"/>
          <w:highlight w:val="none"/>
        </w:rPr>
        <w:t>，</w:t>
      </w:r>
      <w:r>
        <w:rPr>
          <w:rFonts w:hint="eastAsia" w:ascii="宋体" w:hAnsi="宋体" w:eastAsia="宋体" w:cs="宋体"/>
          <w:b/>
          <w:bCs w:val="0"/>
          <w:color w:val="auto"/>
          <w:sz w:val="24"/>
          <w:szCs w:val="24"/>
          <w:highlight w:val="none"/>
        </w:rPr>
        <w:t>否则投标无效。</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rPr>
        <w:t>9.6</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列入失信被执行人、重大税收违法案件当事人名单、政府采购严重违法失信行为记录名单及其他不符合政府采购法第二十二条规定条件的供应商，不得参加投标</w:t>
      </w:r>
      <w:r>
        <w:rPr>
          <w:rFonts w:hint="eastAsia" w:ascii="宋体" w:hAnsi="宋体" w:eastAsia="宋体" w:cs="宋体"/>
          <w:b w:val="0"/>
          <w:bCs/>
          <w:color w:val="auto"/>
          <w:sz w:val="24"/>
          <w:szCs w:val="24"/>
          <w:highlight w:val="none"/>
        </w:rPr>
        <w:t>，</w:t>
      </w:r>
      <w:r>
        <w:rPr>
          <w:rFonts w:hint="eastAsia" w:ascii="宋体" w:hAnsi="宋体" w:eastAsia="宋体" w:cs="宋体"/>
          <w:b/>
          <w:bCs w:val="0"/>
          <w:color w:val="auto"/>
          <w:sz w:val="24"/>
          <w:szCs w:val="24"/>
          <w:highlight w:val="none"/>
        </w:rPr>
        <w:t>否则投标无效。</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9.7</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有下列情形之一的，视为</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串通投标，</w:t>
      </w:r>
      <w:r>
        <w:rPr>
          <w:rFonts w:hint="eastAsia" w:ascii="宋体" w:hAnsi="宋体" w:eastAsia="宋体" w:cs="宋体"/>
          <w:b/>
          <w:bCs w:val="0"/>
          <w:color w:val="auto"/>
          <w:sz w:val="24"/>
          <w:szCs w:val="24"/>
          <w:highlight w:val="none"/>
        </w:rPr>
        <w:t>其投标无效：</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不同投标人的电子投标文件由同一单位或个人编制；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不同投标人委托同一单位或个人办理投标事宜；</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不同投标人的电子投标文件载明的项目管理成员或联系人员为同一人；</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不同投标人的电子投标文件异常一致或投标报价呈规律性差异；</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不同投标人的电子投标文件相互混装；</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不同投标人的投标保证金从同一单位或个人的账户转出；</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有关法律、法规和规章及招标文件规定的其他串通投标情形</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10、</w:t>
      </w:r>
      <w:r>
        <w:rPr>
          <w:rFonts w:hint="eastAsia" w:ascii="宋体" w:hAnsi="宋体" w:eastAsia="宋体" w:cs="宋体"/>
          <w:b/>
          <w:bCs w:val="0"/>
          <w:color w:val="auto"/>
          <w:sz w:val="24"/>
          <w:szCs w:val="24"/>
          <w:highlight w:val="none"/>
          <w:lang w:val="en-US" w:eastAsia="zh-CN"/>
        </w:rPr>
        <w:t>电子</w:t>
      </w:r>
      <w:r>
        <w:rPr>
          <w:rFonts w:hint="eastAsia" w:ascii="宋体" w:hAnsi="宋体" w:eastAsia="宋体" w:cs="宋体"/>
          <w:b/>
          <w:bCs w:val="0"/>
          <w:color w:val="auto"/>
          <w:sz w:val="24"/>
          <w:szCs w:val="24"/>
          <w:highlight w:val="none"/>
        </w:rPr>
        <w:t>投标文件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电子投标文件的编制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投标人应先仔细阅读招标文件的全部内容后，再进行电子投标文件的编制。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电子投标文件应按照本章第10.2条规定编制其组成部分。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电子投标文件应满足招标文件提出的实质性要求和条件，并保证其所提交的全部资料是不可割离且真实、有效、准确、完整和不具有任何误导性的，否则造成不利后果由投标人承担责任。</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电子投标文件由下述部分组成：</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资格及资信证明部分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报价部分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一览表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报价明细表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③招标文件规定的价格扣除证明材料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④招标文件规定的加分证明材料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技术商务部分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④投标人提交的其他资料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firstLineChars="200"/>
        <w:jc w:val="both"/>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⑤招标文件规定作为电子投标文件组成部分的其他内容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电子投标文件的语言</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除招标文件另有规定外，电子投标文件应使用中文文本，若有不同文本，以中文文本为准。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投标文件的份数：详见招标文件第二章</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电子投标文件的格式</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除招标文件另有规定外，电子投标文件应使用招标文件第七章规定的格式。</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除招标文件另有规定外，电子投标文件应使用不能擦去的墨料或墨水打印、书写或复印。</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除招标文件另有规定外，电子投标文件应使用人民币作为计量货币。</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除招标文件另有规定外，签署、盖章应遵守下列规定：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①电子投标文件应加盖投标人的单位公章。若投标人代表为单位授权的委托代理人，应提供“单位授权书”。</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②电子投标文件应没有涂改或行间插字，除非这些改动是根据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的指示进行的，或是为改正投标人造成的应修改的错误而进行的。若有前述改动，应按照下列规定之一对改动处进行处理：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a.投标人代表签字确认；</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b.加盖投标人的单位公章或校正章。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10.6</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投标报价</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投标报价超出最高限价将导致</w:t>
      </w:r>
      <w:r>
        <w:rPr>
          <w:rFonts w:hint="eastAsia" w:ascii="宋体" w:hAnsi="宋体" w:eastAsia="宋体" w:cs="宋体"/>
          <w:b/>
          <w:bCs w:val="0"/>
          <w:color w:val="auto"/>
          <w:sz w:val="24"/>
          <w:szCs w:val="24"/>
          <w:highlight w:val="none"/>
        </w:rPr>
        <w:t>投标无效。</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最高限价由采购人根据价格测算情况，在预算金额的额度内合理设定。最高限价不得超出预算金额</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除招标文件另有规定外，电子投标文件不能出现任何选择性的投标报价，即每一个采购包和品目号的采购标的都只能有一个投标报价。任何选择性的投标报价将导致</w:t>
      </w:r>
      <w:r>
        <w:rPr>
          <w:rFonts w:hint="eastAsia" w:ascii="宋体" w:hAnsi="宋体" w:eastAsia="宋体" w:cs="宋体"/>
          <w:b/>
          <w:bCs/>
          <w:color w:val="auto"/>
          <w:sz w:val="24"/>
          <w:szCs w:val="24"/>
          <w:highlight w:val="none"/>
        </w:rPr>
        <w:t>投标无效</w:t>
      </w:r>
      <w:r>
        <w:rPr>
          <w:rFonts w:hint="eastAsia" w:ascii="宋体" w:hAnsi="宋体" w:eastAsia="宋体" w:cs="宋体"/>
          <w:b/>
          <w:bCs w:val="0"/>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10.7</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分包</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是否允许中标人将本项目的非主体、非关键性工作进行分包：详见招标文件第二章。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且不得再次分包。</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招标文件允许中标人将非主体、非关键性工作进行分包的项目，有下列情形之一的，中标人不得分包：</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①电子投标文件中未载明分包承担主体；</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②电子投标文件载明的分包承担主体不具备相应资质条件；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③电子投标文件载明的分包承担主体拟再次分包；</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④享受中小企业扶持政策获得政府采购合同的，小微企业不得将合同分包给大中型企业，中型企业不得将合同分包给大型企业</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10.8</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投标有效期</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rPr>
        <w:t>招标文件载明的投标有效期：详见招标文件第二章</w:t>
      </w:r>
      <w:r>
        <w:rPr>
          <w:rFonts w:hint="eastAsia" w:ascii="宋体" w:hAnsi="宋体" w:eastAsia="宋体" w:cs="宋体"/>
          <w:color w:val="auto"/>
          <w:highlight w:val="none"/>
        </w:rPr>
        <w:t>。</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rPr>
        <w:t>电子投标文件承诺的投标有效期不得少于招标文件载明的投标有效期，</w:t>
      </w:r>
      <w:r>
        <w:rPr>
          <w:rFonts w:hint="eastAsia" w:ascii="宋体" w:hAnsi="宋体" w:eastAsia="宋体" w:cs="宋体"/>
          <w:b/>
          <w:bCs/>
          <w:color w:val="auto"/>
          <w:sz w:val="24"/>
          <w:szCs w:val="24"/>
          <w:highlight w:val="none"/>
        </w:rPr>
        <w:t>否则投标无效</w:t>
      </w:r>
      <w:r>
        <w:rPr>
          <w:rFonts w:hint="eastAsia" w:ascii="宋体" w:hAnsi="宋体" w:eastAsia="宋体" w:cs="宋体"/>
          <w:b/>
          <w:bCs/>
          <w:color w:val="auto"/>
          <w:highlight w:val="none"/>
        </w:rPr>
        <w:t>。</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rPr>
        <w:t xml:space="preserve">根据本次采购活动的需要，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可于投标有效期届满之前书面要求投标人延长投标有效期，投标人应在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10.9</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投标保证金</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rPr>
        <w:t>投标保证金作为投标人按照招标文件规定履行相应投标责任、义务的约束及担保</w:t>
      </w:r>
      <w:r>
        <w:rPr>
          <w:rFonts w:hint="eastAsia" w:ascii="宋体" w:hAnsi="宋体" w:eastAsia="宋体" w:cs="宋体"/>
          <w:color w:val="auto"/>
          <w:highlight w:val="none"/>
        </w:rPr>
        <w:t>。</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rPr>
        <w:t>投标人以电子保函形式提交投标保证金的，保函的有效期应等于或长于电子投标文件承诺的投标有效期</w:t>
      </w:r>
      <w:r>
        <w:rPr>
          <w:rFonts w:hint="eastAsia" w:ascii="宋体" w:hAnsi="宋体" w:eastAsia="宋体" w:cs="宋体"/>
          <w:color w:val="auto"/>
          <w:highlight w:val="none"/>
        </w:rPr>
        <w:t>，</w:t>
      </w:r>
      <w:r>
        <w:rPr>
          <w:rFonts w:hint="eastAsia" w:ascii="宋体" w:hAnsi="宋体" w:eastAsia="宋体" w:cs="宋体"/>
          <w:b/>
          <w:bCs/>
          <w:color w:val="auto"/>
          <w:highlight w:val="none"/>
        </w:rPr>
        <w:t>否则</w:t>
      </w:r>
      <w:r>
        <w:rPr>
          <w:rStyle w:val="19"/>
          <w:rFonts w:hint="eastAsia" w:ascii="宋体" w:hAnsi="宋体" w:eastAsia="宋体" w:cs="宋体"/>
          <w:b/>
          <w:bCs/>
          <w:color w:val="auto"/>
          <w:highlight w:val="none"/>
        </w:rPr>
        <w:t>投标无效</w:t>
      </w:r>
      <w:r>
        <w:rPr>
          <w:rFonts w:hint="eastAsia" w:ascii="宋体" w:hAnsi="宋体" w:eastAsia="宋体" w:cs="宋体"/>
          <w:b/>
          <w:bCs/>
          <w:color w:val="auto"/>
          <w:highlight w:val="none"/>
        </w:rPr>
        <w:t>。</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提交</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①投标人以汇款形式缴纳投标保证金的，应从其银行账户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基本存款账户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按照下列方式：公对公转账方式向招标文件载明的投标保证金账户提交投标保证金，具体金额详见招标文件第一章。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；在投标截止时间之前将电子保函文件放入投标文件中，</w:t>
      </w:r>
      <w:r>
        <w:rPr>
          <w:rFonts w:hint="eastAsia" w:ascii="宋体" w:hAnsi="宋体" w:eastAsia="宋体" w:cs="宋体"/>
          <w:b/>
          <w:bCs/>
          <w:color w:val="auto"/>
          <w:sz w:val="24"/>
          <w:szCs w:val="24"/>
          <w:highlight w:val="none"/>
        </w:rPr>
        <w:t>否则视为未提交投标保证金。</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③其他形式：</w:t>
      </w:r>
      <w:r>
        <w:rPr>
          <w:rFonts w:hint="eastAsia" w:ascii="宋体" w:hAnsi="宋体" w:eastAsia="宋体" w:cs="宋体"/>
          <w:color w:val="auto"/>
          <w:sz w:val="24"/>
          <w:szCs w:val="24"/>
          <w:highlight w:val="none"/>
          <w:lang w:val="en-US" w:eastAsia="zh-CN"/>
        </w:rPr>
        <w:t>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④若本项目接受联合体投标且投标人为联合体，则联合体中的牵头方应按照本章第10.9条第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款第①、②、③点规定提交投标保证金。</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※除招标文件另有规定外，未按照上述规定提交投标保证金将导致资格审查不合格。</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4</w:t>
      </w:r>
      <w:r>
        <w:rPr>
          <w:rFonts w:hint="eastAsia" w:ascii="宋体" w:hAnsi="宋体" w:eastAsia="宋体" w:cs="宋体"/>
          <w:color w:val="auto"/>
          <w:highlight w:val="none"/>
          <w:u w:val="none"/>
          <w:lang w:eastAsia="zh-CN"/>
        </w:rPr>
        <w:t>）</w:t>
      </w:r>
      <w:r>
        <w:rPr>
          <w:rFonts w:hint="eastAsia" w:ascii="宋体" w:hAnsi="宋体" w:eastAsia="宋体" w:cs="宋体"/>
          <w:color w:val="auto"/>
          <w:highlight w:val="none"/>
          <w:u w:val="none"/>
        </w:rPr>
        <w:t>退还</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①在投标截止时间前撤回已提交的电子投标文件的投标人，其投标保证金将在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收到投标人书面撤回通知之日起5个工作日内退回原账户。</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②未中标人的投标保证金将在中标通知书发出之日起5个工作日内退回原账户。</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③中标人的投标保证金将在政府采购合同签订之日起5个工作日内退回原账户；合同签订之日以福建省政府采购网上公开信息系统记载的为准。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④终止招标的，</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将在终止公告发布之日起5个工作日内退回已收取的投标保证金及其在银行产生的孳息。</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Style w:val="19"/>
          <w:rFonts w:hint="eastAsia" w:ascii="宋体" w:hAnsi="宋体" w:eastAsia="宋体" w:cs="宋体"/>
          <w:color w:val="auto"/>
          <w:highlight w:val="none"/>
          <w:u w:val="none"/>
          <w:lang w:eastAsia="zh-CN"/>
        </w:rPr>
      </w:pPr>
      <w:r>
        <w:rPr>
          <w:rFonts w:hint="eastAsia" w:ascii="宋体" w:hAnsi="宋体" w:eastAsia="宋体" w:cs="宋体"/>
          <w:b/>
          <w:bCs/>
          <w:color w:val="auto"/>
          <w:sz w:val="24"/>
          <w:szCs w:val="24"/>
          <w:highlight w:val="none"/>
        </w:rPr>
        <w:t>※本章第10.9条第</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款第①、②、③点规定的投标保证金退还时限不包括因投标人自身原因导致无法及时退还而增加的时间。</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若出现本章第10.8条第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有下列情形之一的，投标保证金将不予退还或通过投标保函进行索赔：</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①投标人串通投标；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②投标人提供虚假材料；</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③投标人采取不正当手段诋毁、排挤其他投标人；</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④投标截止时间后，投标人在投标有效期内撤销电子投标文件；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⑤招标文件规定的其他不予退还情形；</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⑥中标人有下列情形之一的：</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a.除不可抗力外，因中标人自身原因未在中标通知书要求的期限内与采购人签订政府采购合同；</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b.未按照招标文件、投标文件的约定签订政府采购合同或提交履约保证金。</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※若上述投标保证金不予退还情形给采购人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采购代理机构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造成损失，则投标人还要承担相应的赔偿责任。</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电子投标文件的提交</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一个投标人只能提交一个电子投标文件，并按照招标文件第一章规定在系统上完成上传、解密操作。</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电子投标文件的补充、修改或撤回</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投标截止时间前，投标人可对所提交的电子投标文件进行补充、修改或撤回，并书面通知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补充、修改的内容应按照本章第10.5条第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款规定进行签署、盖章，并按照本章第10.10条规定提交，</w:t>
      </w:r>
      <w:r>
        <w:rPr>
          <w:rFonts w:hint="eastAsia" w:ascii="宋体" w:hAnsi="宋体" w:eastAsia="宋体" w:cs="宋体"/>
          <w:b/>
          <w:bCs/>
          <w:color w:val="auto"/>
          <w:sz w:val="24"/>
          <w:szCs w:val="24"/>
          <w:highlight w:val="none"/>
        </w:rPr>
        <w:t>否则将被拒收。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※按照上述规定提交的补充、修改内容作为电子投标文件组成部分。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除招标文件另有规定外，有下列情形之一的，</w:t>
      </w:r>
      <w:r>
        <w:rPr>
          <w:rFonts w:hint="eastAsia" w:ascii="宋体" w:hAnsi="宋体" w:eastAsia="宋体" w:cs="宋体"/>
          <w:b/>
          <w:bCs/>
          <w:color w:val="auto"/>
          <w:sz w:val="24"/>
          <w:szCs w:val="24"/>
          <w:highlight w:val="none"/>
        </w:rPr>
        <w:t>投标无效：</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电子投标文件未按照招标文件要求签署、盖章；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不符合招标文件中规定的资格要求；</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投标报价超过招标文件中规定的预算金额或最高限价；</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电子投标文件含有采购人不能接受的附加条件；</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有关法律、法规和规章及招标文件规定的其他无效情形</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val="0"/>
          <w:bCs/>
          <w:color w:val="auto"/>
          <w:sz w:val="24"/>
          <w:szCs w:val="24"/>
          <w:highlight w:val="none"/>
        </w:rPr>
      </w:pPr>
      <w:bookmarkStart w:id="9" w:name="_Toc5985"/>
      <w:r>
        <w:rPr>
          <w:rFonts w:hint="eastAsia" w:ascii="宋体" w:hAnsi="宋体" w:eastAsia="宋体" w:cs="宋体"/>
          <w:b/>
          <w:bCs w:val="0"/>
          <w:color w:val="auto"/>
          <w:sz w:val="28"/>
          <w:szCs w:val="28"/>
          <w:highlight w:val="none"/>
        </w:rPr>
        <w:t>五、开标</w:t>
      </w:r>
      <w:bookmarkEnd w:id="9"/>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11、开标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将在招标文件载明的开标时间及地点主持召开开标会，并邀请投标人参加</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开标会的主持人、唱标人、记录人及其他工作人员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均由</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派出，现场监督人员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可由有关方面派出</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11.4</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开标会应遵守下列规定：</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r>
        <w:rPr>
          <w:rFonts w:hint="eastAsia" w:ascii="宋体" w:hAnsi="宋体" w:eastAsia="宋体" w:cs="宋体"/>
          <w:color w:val="auto"/>
          <w:highlight w:val="none"/>
        </w:rPr>
        <w:t>。</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唱标时，唱标人将依次宣布“投标人名称”、“各投标人关于电子投标文件补充、修改或撤回的书面通知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”、“各投标人的投标报价”和招标文件规定的需要宣布的其他内容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包括但不限于：开标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一览表中的内容、唱标人认为需要宣布的内容等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唱标结束后，参加现场开标会的投标人代表应对开标记录进行签字确认，通过远程参与开标流程的投标人须在系统远程签章开启后，在系统规定时间内对开标结果进行签章确认。</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投标人代表对开标过程和开标记录有疑义，以及认为采购人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若投标人未到开标现场参加开标会，也未通过远程参加开标会的，视同认可开标结果</w:t>
      </w:r>
      <w:r>
        <w:rPr>
          <w:rFonts w:hint="eastAsia" w:ascii="宋体" w:hAnsi="宋体" w:eastAsia="宋体" w:cs="宋体"/>
          <w:color w:val="auto"/>
          <w:highlight w:val="none"/>
        </w:rPr>
        <w:t>。</w:t>
      </w:r>
    </w:p>
    <w:p>
      <w:pPr>
        <w:pStyle w:val="14"/>
        <w:keepNext w:val="0"/>
        <w:keepLines w:val="0"/>
        <w:pageBreakBefore w:val="0"/>
        <w:widowControl w:val="0"/>
        <w:kinsoku/>
        <w:overflowPunct/>
        <w:topLinePunct w:val="0"/>
        <w:autoSpaceDE/>
        <w:bidi w:val="0"/>
        <w:adjustRightInd/>
        <w:spacing w:beforeAutospacing="0" w:afterAutospacing="0"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color w:val="auto"/>
          <w:sz w:val="24"/>
          <w:szCs w:val="24"/>
          <w:highlight w:val="none"/>
        </w:rPr>
        <w:t>※若出现本章第11.4条第</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款规定情形之一，则投标人不得在开标会后就开标过程和开标记录涉及或可能涉及的有关事由</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包括但不限于：“投标报价”、“电子投标文件的格式”、“电子投标文件的提交”、“电子投标文件的补充、修改或撤回”等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向 </w:t>
      </w:r>
      <w:r>
        <w:rPr>
          <w:rFonts w:hint="eastAsia" w:ascii="宋体" w:hAnsi="宋体" w:eastAsia="宋体" w:cs="宋体"/>
          <w:b/>
          <w:bCs/>
          <w:color w:val="auto"/>
          <w:sz w:val="24"/>
          <w:szCs w:val="24"/>
          <w:highlight w:val="none"/>
          <w:lang w:eastAsia="zh-CN"/>
        </w:rPr>
        <w:t>卓知项目管理顾问有限公司</w:t>
      </w:r>
      <w:r>
        <w:rPr>
          <w:rFonts w:hint="eastAsia" w:ascii="宋体" w:hAnsi="宋体" w:eastAsia="宋体" w:cs="宋体"/>
          <w:b/>
          <w:bCs/>
          <w:color w:val="auto"/>
          <w:sz w:val="24"/>
          <w:szCs w:val="24"/>
          <w:highlight w:val="none"/>
        </w:rPr>
        <w:t xml:space="preserve"> 提出任何疑义或要求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包括质疑</w:t>
      </w:r>
      <w:r>
        <w:rPr>
          <w:rFonts w:hint="eastAsia" w:ascii="宋体" w:hAnsi="宋体" w:eastAsia="宋体" w:cs="宋体"/>
          <w:b/>
          <w:bCs/>
          <w:color w:val="auto"/>
          <w:sz w:val="24"/>
          <w:szCs w:val="24"/>
          <w:highlight w:val="none"/>
          <w:lang w:eastAsia="zh-CN"/>
        </w:rPr>
        <w:t>）</w:t>
      </w:r>
      <w:r>
        <w:rPr>
          <w:rStyle w:val="19"/>
          <w:rFonts w:hint="eastAsia" w:ascii="宋体" w:hAnsi="宋体" w:eastAsia="宋体" w:cs="宋体"/>
          <w:color w:val="auto"/>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11.5</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投标截止时间后，参加投标的投标人不足三家的，不进行开标。同时，本次采购活动结束，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将依法组织后续采购活动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包括但不限于：重新招标、采用其他方式采购等</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11.6</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投标截止时间后撤销投标的处理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投标截止时间后，投标人在投标有效期内撤销投标的，其撤销投标的行为无效</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val="0"/>
          <w:bCs/>
          <w:color w:val="auto"/>
          <w:sz w:val="24"/>
          <w:szCs w:val="24"/>
          <w:highlight w:val="none"/>
        </w:rPr>
      </w:pPr>
      <w:bookmarkStart w:id="10" w:name="_Toc28402"/>
      <w:r>
        <w:rPr>
          <w:rFonts w:hint="eastAsia" w:ascii="宋体" w:hAnsi="宋体" w:eastAsia="宋体" w:cs="宋体"/>
          <w:b/>
          <w:bCs w:val="0"/>
          <w:color w:val="auto"/>
          <w:sz w:val="28"/>
          <w:szCs w:val="28"/>
          <w:highlight w:val="none"/>
        </w:rPr>
        <w:t>六、中标与政府采购合同</w:t>
      </w:r>
      <w:bookmarkEnd w:id="10"/>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12、中标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本项目推荐的中标候选人家数：详见招标文件第二章</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本项目中标人的确定：详见招标文件第二章</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中标公告</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中标人确定之日起2个工作日内，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将在招标文件载明的指定媒体以中标公告的形式发布中标结果。</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中标公告的公告期限为1个工作日</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12.4</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中标通知书</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中标公告发布的同时，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将向中标人发出中标通知书。</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中标通知书发出后，采购人不得违法改变中标结果，中标人无正当理由不得放弃中标</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13、政府采购合同</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签订时限：详见须知前附表1的13.2。</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政府采购合同的履行、违约责任和解决争议的方法等适用民法典。</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采购人与中标人应根据政府采购合同的约定依法履行合同义务。</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政府采购合同履行过程中，采购人若需追加与合同标的相同的货物或服务，则追加采购金额不得超过原合同采购金额的10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13.6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中标人在政府采购合同履行过程中应遵守有关法律、法规和规章的强制性规定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即使前述强制性规定有可能在招标文件中未予列明</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val="0"/>
          <w:bCs/>
          <w:color w:val="auto"/>
          <w:sz w:val="28"/>
          <w:szCs w:val="28"/>
          <w:highlight w:val="none"/>
        </w:rPr>
      </w:pPr>
      <w:bookmarkStart w:id="11" w:name="_Toc18066"/>
      <w:r>
        <w:rPr>
          <w:rFonts w:hint="eastAsia" w:ascii="宋体" w:hAnsi="宋体" w:eastAsia="宋体" w:cs="宋体"/>
          <w:b/>
          <w:bCs w:val="0"/>
          <w:color w:val="auto"/>
          <w:sz w:val="28"/>
          <w:szCs w:val="28"/>
          <w:highlight w:val="none"/>
        </w:rPr>
        <w:t>七、询问、质疑与投诉</w:t>
      </w:r>
      <w:bookmarkEnd w:id="11"/>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14、询问</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潜在投标人或投标人对本次采购活动的有关事项若有疑问，可向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提出询问， </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 xml:space="preserve"> 将按照政府采购法及实施条例的有关规定进行答复</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15、质疑</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针对同一采购程序环节的质疑应在政府采购法及实施条例的时限内一次性提出，对一个项目的不同采购包提出质疑的，应当将各采购包质疑事项集中在一份质疑函中提出，并同时符合下列条件</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对招标文件提出质疑的，质疑人应为潜在投标人，且两者的身份、名称等均应保持一致。对采购过程、结果提出质疑的，质疑人应为投标人，且两者的身份、名称等均应保持一致。</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质疑人应按照招标文件第二章规定方式提交质疑函。</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质疑函应包括下列主要内容：</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以下简称：“质疑事项”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④针对质疑事项提出的明确请求，前述明确请求指质疑人提出质疑的目的以及希望</w:t>
      </w:r>
      <w:r>
        <w:rPr>
          <w:rFonts w:hint="eastAsia" w:ascii="宋体" w:hAnsi="宋体" w:eastAsia="宋体" w:cs="宋体"/>
          <w:color w:val="auto"/>
          <w:sz w:val="24"/>
          <w:szCs w:val="24"/>
          <w:highlight w:val="none"/>
          <w:lang w:eastAsia="zh-CN"/>
        </w:rPr>
        <w:t>卓知项目管理顾问有限公司</w:t>
      </w:r>
      <w:r>
        <w:rPr>
          <w:rFonts w:hint="eastAsia" w:ascii="宋体" w:hAnsi="宋体" w:eastAsia="宋体" w:cs="宋体"/>
          <w:color w:val="auto"/>
          <w:sz w:val="24"/>
          <w:szCs w:val="24"/>
          <w:highlight w:val="none"/>
        </w:rPr>
        <w:t>对其质疑作出的处理结果，如：暂停招标投标活动、修改招标文件、停止或纠正违法违规行为、中标结果无效、废标、重新招标等；</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质疑人为法人或其他组织的，提供统一社会信用代码营业执照等证明文件的副本复印件、单位负责人的身份证复印件；质疑人代表为委托代理人的，还应同时提供单位负责人授权书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应载明代理人的姓名或者名称、代理事项、具体权限、期限和相关事项，授权书应由单位负责人签字或盖章，并加盖投标人的单位公章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和委托代理人的身份证复印件。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若本项目接受自然人投标且质疑人为自然人的，提供本人的身份证复印件。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即事实依据和必要的法律依据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包括但不限于下列材料：</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所质疑的具体事项是与自己有利害关系的证明材料；</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质疑函所述事实存在的证明材料，如：采购文件、采购过程或中标结果违法违规或不符合采购文件要求等证明材料；</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依法应终止采购程序的证明材料；</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应重新采购的证明材料；</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采购文件、采购过程或中标、成交结果损害自己合法权益的证明材料等；</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若质疑的具体事项按照有关法律、法规和规章规定处于保密阶段，则应提供信息或证明材料为合法或公开渠道获得的有效证据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若证据无法有效表明信息或证明材料为合法或公开渠道获得，则前述信息或证明材料视为无效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※质疑人为法人或其他组织的，质疑函应由单位负责人或委托代理人签字或盖章，并加盖投标人的单位公章。质疑人为自然人的，质疑函应由本人签字。</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对不符合本章第15.1条规定的质疑，将按照下列规定进行处理：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不符合其中第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条规定的，书面告知质疑人不予受理及其理由。</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不符合其中第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条规定的，书面告知质疑人修改、补充后在规定时限内重新提交质疑函。</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对符合本章第15.1条规定的质疑，将按照政府采购法及实施条例、政府采购质疑和投诉办法的有关规定进行答复。</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招标文件的质疑：详见招标文件第二章。</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16、投诉</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投诉应有明确的请求和必要的证明材料，投诉的事项不得超出已质疑事项的范围</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bCs w:val="0"/>
          <w:color w:val="auto"/>
          <w:sz w:val="24"/>
          <w:szCs w:val="24"/>
          <w:highlight w:val="none"/>
        </w:rPr>
      </w:pPr>
      <w:bookmarkStart w:id="12" w:name="_Toc16490"/>
      <w:r>
        <w:rPr>
          <w:rFonts w:hint="eastAsia" w:ascii="宋体" w:hAnsi="宋体" w:eastAsia="宋体" w:cs="宋体"/>
          <w:b/>
          <w:bCs w:val="0"/>
          <w:color w:val="auto"/>
          <w:sz w:val="28"/>
          <w:szCs w:val="28"/>
          <w:highlight w:val="none"/>
        </w:rPr>
        <w:t>八、政府采购政策</w:t>
      </w:r>
      <w:bookmarkEnd w:id="12"/>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17、政府采购政策由财政部根据国家的经济和社会发展政策并会同国家有关部委制定，包括但不限于下列具体政策要求：</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进口产品指通过中国海关报关验放进入中国境内且产自关境外的产品，其中：</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凡在海关特殊监管区域内企业生产或加工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包括从境外进口料件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销往境内其他地区的产品，不作为政府采购项下进口产品。</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对从境外进入海关特殊监管区域，再经办理报关手续后从海关特殊监管区进入境内其他地区的产品，认定为进口产品。</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招标文件列明不允许或未列明允许进口产品参加投标的，均视为拒绝进口产品参加投标。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符合财政部、工信部文件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财库〔2020〕46号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规定的小型、微型企业可享受扶持政策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如：预留采购份额、价格评审优惠、优先采购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。符合财政部、司法部文件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规定的监狱企业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以下简称：“监狱企业”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亦可享受前述扶持政策。符合财政部、民政部、中国残联文件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财库[2017]141号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规定的残疾人福利性单位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以下简称：“残疾人福利性单位”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亦可享受前述扶持政策。其中：</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中小企业指符合下列条件的中型、小型、微型企业：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工信部联企业[2011]300号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规定的划分标准，但与大企业的负责人为同一人，或者与大企业存在直接控股、管理关系的除外；</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在政府采购活动中，供应商提供的货物、工程或者服务符合下列情形的，享受本办法规定的中小企业扶持政策：</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投标人应当按照招标文件明确的采购标的对应行业的划分标准出具中小企业声明函。</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监狱企业指由司法部认定的为罪犯、戒毒人员提供生产项目和劳动对象，且全部产权属于司法部监狱管理局、戒毒管理局、直属煤矿管理局，各省、自治区、直辖市监狱管理局、戒毒管理局，各地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设区的市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监狱、强制隔离戒毒所、戒毒康复所，以及新疆生产建设兵团监狱管理局、戒毒管理局的企业，其中：</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出具的属于监狱企业的证明文件。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残疾人福利性单位指同时符合下列条件的单位：</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，并且安置的残疾人人数不少于10人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含10人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含一年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的劳动合同或服务协议；</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不包括使用非残疾人福利性单位注册商标的货物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1至8级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》的自然人，包括具有劳动条件和劳动意愿的精神残疾人。在职职工人数是指与残疾人福利性单位建立劳动关系并依法签订劳动合同或服务协议的雇员人数。</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信用记录指由财政部确定的有关网站提供的相关主体信用信息。信用记录的查询及使用应符合财政部文件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财库[2016]125号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17.5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为落实政府采购政策需满足的要求：详见招标文件第一章</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val="0"/>
          <w:bCs/>
          <w:color w:val="auto"/>
          <w:sz w:val="24"/>
          <w:szCs w:val="24"/>
          <w:highlight w:val="none"/>
        </w:rPr>
      </w:pPr>
      <w:bookmarkStart w:id="13" w:name="_Toc15789"/>
      <w:r>
        <w:rPr>
          <w:rFonts w:hint="eastAsia" w:ascii="宋体" w:hAnsi="宋体" w:eastAsia="宋体" w:cs="宋体"/>
          <w:b/>
          <w:bCs w:val="0"/>
          <w:color w:val="auto"/>
          <w:sz w:val="28"/>
          <w:szCs w:val="28"/>
          <w:highlight w:val="none"/>
        </w:rPr>
        <w:t>九、本项目的有关信息</w:t>
      </w:r>
      <w:bookmarkEnd w:id="13"/>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、招标文件、招标文件的澄清或修改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、中标公告、终止公告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、废标公告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等都将在招标文件载明的指定媒体发布。</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指定媒体：详见招标文件第二章。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18.2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本项目的潜在投标人或投标人应随时关注指定媒体，否则产生不利后果由其自行承担</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val="0"/>
          <w:bCs/>
          <w:color w:val="auto"/>
          <w:sz w:val="28"/>
          <w:szCs w:val="28"/>
          <w:highlight w:val="none"/>
        </w:rPr>
      </w:pPr>
      <w:bookmarkStart w:id="14" w:name="_Toc32429"/>
      <w:r>
        <w:rPr>
          <w:rFonts w:hint="eastAsia" w:ascii="宋体" w:hAnsi="宋体" w:eastAsia="宋体" w:cs="宋体"/>
          <w:b/>
          <w:bCs w:val="0"/>
          <w:color w:val="auto"/>
          <w:sz w:val="28"/>
          <w:szCs w:val="28"/>
          <w:highlight w:val="none"/>
        </w:rPr>
        <w:t>十、其他事项</w:t>
      </w:r>
      <w:bookmarkEnd w:id="14"/>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本项目中如涉及商品包装和快递包装的，其包装需求标准应不低于《关于印发〈商品包装政府采购需求标准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财办库〔2020〕 123号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规定的包装要求，其他包装需求详见招标文件具体规定。采购人、中标人双方签订合同及验收环节，应包含上述包装要求的条款。</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其他：详见招标文件第二章</w:t>
      </w:r>
      <w:r>
        <w:rPr>
          <w:rFonts w:hint="eastAsia" w:ascii="宋体" w:hAnsi="宋体" w:eastAsia="宋体" w:cs="宋体"/>
          <w:b w:val="0"/>
          <w:bCs/>
          <w:color w:val="auto"/>
          <w:sz w:val="24"/>
          <w:szCs w:val="24"/>
          <w:highlight w:val="none"/>
        </w:rPr>
        <w:t>。</w:t>
      </w:r>
      <w:r>
        <w:rPr>
          <w:rFonts w:hint="eastAsia" w:ascii="宋体" w:hAnsi="宋体" w:eastAsia="宋体" w:cs="宋体"/>
          <w:b/>
          <w:color w:val="auto"/>
          <w:sz w:val="24"/>
          <w:szCs w:val="24"/>
          <w:highlight w:val="none"/>
        </w:rPr>
        <w:t xml:space="preserve"> </w:t>
      </w:r>
    </w:p>
    <w:p>
      <w:pPr>
        <w:keepNext w:val="0"/>
        <w:keepLines w:val="0"/>
        <w:pageBreakBefore w:val="0"/>
        <w:widowControl w:val="0"/>
        <w:kinsoku/>
        <w:overflowPunct/>
        <w:topLinePunct w:val="0"/>
        <w:autoSpaceDE/>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宋体" w:hAnsi="宋体" w:eastAsia="宋体" w:cs="宋体"/>
          <w:color w:val="auto"/>
          <w:sz w:val="24"/>
          <w:szCs w:val="24"/>
          <w:highlight w:val="none"/>
        </w:rPr>
      </w:pPr>
      <w:bookmarkStart w:id="15" w:name="_Toc26047"/>
      <w:r>
        <w:rPr>
          <w:rFonts w:hint="eastAsia" w:ascii="宋体" w:hAnsi="宋体" w:eastAsia="宋体" w:cs="宋体"/>
          <w:b/>
          <w:color w:val="auto"/>
          <w:sz w:val="32"/>
          <w:szCs w:val="32"/>
          <w:highlight w:val="none"/>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资格审查与评标</w:t>
      </w:r>
      <w:bookmarkEnd w:id="15"/>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color w:val="auto"/>
          <w:sz w:val="24"/>
          <w:szCs w:val="24"/>
          <w:highlight w:val="none"/>
        </w:rPr>
      </w:pPr>
      <w:bookmarkStart w:id="16" w:name="_Toc29958"/>
      <w:r>
        <w:rPr>
          <w:rFonts w:hint="eastAsia" w:ascii="宋体" w:hAnsi="宋体" w:eastAsia="宋体" w:cs="宋体"/>
          <w:b/>
          <w:color w:val="auto"/>
          <w:sz w:val="28"/>
          <w:szCs w:val="28"/>
          <w:highlight w:val="none"/>
        </w:rPr>
        <w:t>一、资格审查</w:t>
      </w:r>
      <w:bookmarkEnd w:id="16"/>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1、开标结束后，由</w:t>
      </w:r>
      <w:r>
        <w:rPr>
          <w:rFonts w:hint="eastAsia" w:ascii="宋体" w:hAnsi="宋体" w:eastAsia="宋体" w:cs="宋体"/>
          <w:b w:val="0"/>
          <w:bCs/>
          <w:color w:val="auto"/>
          <w:sz w:val="24"/>
          <w:szCs w:val="24"/>
          <w:highlight w:val="none"/>
          <w:lang w:eastAsia="zh-CN"/>
        </w:rPr>
        <w:t>卓知项目管理顾问有限公司</w:t>
      </w:r>
      <w:r>
        <w:rPr>
          <w:rFonts w:hint="eastAsia" w:ascii="宋体" w:hAnsi="宋体" w:eastAsia="宋体" w:cs="宋体"/>
          <w:color w:val="auto"/>
          <w:sz w:val="24"/>
          <w:szCs w:val="24"/>
          <w:highlight w:val="none"/>
        </w:rPr>
        <w:t>负责资格审查小组的组建及资格审查工作的组织</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资格审查小组</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审查小组由3人组成，并负责具体审查事务，其中由采购人派出的采购人代表至少1人，由卓知项目管理顾问有限公司派出的工作人员至少1人，其余1人可为采购人代表或卓知项目管理顾问有限公司的工作人员。</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资格审查的依据是招标文件和电子投标文件</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资格审查的范围及内容：电子投标文件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资格及资信证明部分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，具体如下</w:t>
      </w:r>
      <w:r>
        <w:rPr>
          <w:rFonts w:hint="eastAsia" w:ascii="宋体" w:hAnsi="宋体" w:eastAsia="宋体" w:cs="宋体"/>
          <w:b w:val="0"/>
          <w:bCs/>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“投标函”；</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的资格及资信证明文件”</w:t>
      </w:r>
      <w:r>
        <w:rPr>
          <w:rFonts w:hint="eastAsia" w:ascii="宋体" w:hAnsi="宋体" w:eastAsia="宋体" w:cs="宋体"/>
          <w:b w:val="0"/>
          <w:bCs/>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①一般资格证明文件：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w:t>
      </w:r>
    </w:p>
    <w:tbl>
      <w:tblPr>
        <w:tblStyle w:val="1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1"/>
        <w:gridCol w:w="1923"/>
        <w:gridCol w:w="66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序号</w:t>
            </w:r>
          </w:p>
        </w:tc>
        <w:tc>
          <w:tcPr>
            <w:tcW w:w="103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资格审查</w:t>
            </w:r>
          </w:p>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要求概况</w:t>
            </w:r>
          </w:p>
        </w:tc>
        <w:tc>
          <w:tcPr>
            <w:tcW w:w="356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03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单位授权书</w:t>
            </w:r>
          </w:p>
        </w:tc>
        <w:tc>
          <w:tcPr>
            <w:tcW w:w="356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自然人除外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103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营业执照等证明文件</w:t>
            </w:r>
          </w:p>
        </w:tc>
        <w:tc>
          <w:tcPr>
            <w:tcW w:w="356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103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rPr>
              <w:t>提供财务状况报告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财务报告、或资信证明</w:t>
            </w:r>
            <w:r>
              <w:rPr>
                <w:rFonts w:hint="eastAsia" w:ascii="宋体" w:hAnsi="宋体" w:eastAsia="宋体" w:cs="宋体"/>
                <w:color w:val="auto"/>
                <w:sz w:val="24"/>
                <w:szCs w:val="24"/>
                <w:highlight w:val="none"/>
                <w:lang w:eastAsia="zh-CN"/>
              </w:rPr>
              <w:t>）</w:t>
            </w:r>
          </w:p>
        </w:tc>
        <w:tc>
          <w:tcPr>
            <w:tcW w:w="356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①投标人提供的财务报告复印件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成立年限按照投标截止时间推算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应符合下列规定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包括但不限于：成立年限满1年及以上的投标人、成立年限满半年但不足1年的投标人、成立年限不足半年的投标人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103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356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①投标人提供的税收缴纳凭据复印件应符合下列规定：a.投标截止时间前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不含投标截止时间的当月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已依法缴纳税收的投标人，提供投标截止时间前六个月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不含投标截止时间的当月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中任一月份的税收缴纳凭据复印件。b.投标截止时间的当月成立的投标人，视同满足本项资格条件要求。c.若为依法免税范围的投标人，提供依法免税证明材料的，视同满足本项资格条件要求。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103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356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①投标人提供的社会保障资金缴纳凭据复印件应符合下列规定：a.投标截止时间前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不含投标截止时间的当月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已依法缴纳社会保障资金的投标人，提供投标截止时间前六个月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不含投标截止时间的当月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103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rPr>
              <w:t>具备履行合同所必需设备和专业技术能力的声明函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若有</w:t>
            </w:r>
            <w:r>
              <w:rPr>
                <w:rFonts w:hint="eastAsia" w:ascii="宋体" w:hAnsi="宋体" w:eastAsia="宋体" w:cs="宋体"/>
                <w:color w:val="auto"/>
                <w:sz w:val="24"/>
                <w:szCs w:val="24"/>
                <w:highlight w:val="none"/>
                <w:lang w:eastAsia="zh-CN"/>
              </w:rPr>
              <w:t>）</w:t>
            </w:r>
          </w:p>
        </w:tc>
        <w:tc>
          <w:tcPr>
            <w:tcW w:w="356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w:t>
            </w:r>
          </w:p>
        </w:tc>
        <w:tc>
          <w:tcPr>
            <w:tcW w:w="103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356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w:t>
            </w:r>
          </w:p>
        </w:tc>
        <w:tc>
          <w:tcPr>
            <w:tcW w:w="1923"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查询结果</w:t>
            </w:r>
          </w:p>
        </w:tc>
        <w:tc>
          <w:tcPr>
            <w:tcW w:w="6641"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③信用记录的查询：由资格审查小组通过上述网站查询并打印投标人的信用记录。 ④经查询，投标人参加本项目采购活动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w:t>
            </w:r>
          </w:p>
        </w:tc>
        <w:tc>
          <w:tcPr>
            <w:tcW w:w="1923"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以资格条件落实中小企业扶持政策时适用</w:t>
            </w:r>
            <w:r>
              <w:rPr>
                <w:rFonts w:hint="eastAsia" w:ascii="宋体" w:hAnsi="宋体" w:eastAsia="宋体" w:cs="宋体"/>
                <w:color w:val="auto"/>
                <w:sz w:val="24"/>
                <w:szCs w:val="24"/>
                <w:highlight w:val="none"/>
                <w:lang w:eastAsia="zh-CN"/>
              </w:rPr>
              <w:t>）</w:t>
            </w:r>
          </w:p>
        </w:tc>
        <w:tc>
          <w:tcPr>
            <w:tcW w:w="6641" w:type="dxa"/>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&gt;的通知》规定准确划分企业类型。本项目采购标的对应的中小企业划分标准所属行业详见特定资格条件。 ②投标人为监狱企业的，可不填写本声明函，根据其提供的由省级以上监狱管理局、戒毒管理局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403"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w:t>
            </w:r>
          </w:p>
        </w:tc>
        <w:tc>
          <w:tcPr>
            <w:tcW w:w="103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联合体协议</w:t>
            </w:r>
          </w:p>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若有</w:t>
            </w:r>
            <w:r>
              <w:rPr>
                <w:rFonts w:hint="eastAsia" w:ascii="宋体" w:hAnsi="宋体" w:eastAsia="宋体" w:cs="宋体"/>
                <w:b w:val="0"/>
                <w:bCs/>
                <w:color w:val="auto"/>
                <w:sz w:val="24"/>
                <w:szCs w:val="24"/>
                <w:highlight w:val="none"/>
                <w:lang w:eastAsia="zh-CN"/>
              </w:rPr>
              <w:t>）</w:t>
            </w:r>
          </w:p>
        </w:tc>
        <w:tc>
          <w:tcPr>
            <w:tcW w:w="356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接受联合体投标且</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为联合体的，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应提供本协议；否则无须提供。②本协议由委托代理人签字或盖章的，应按照</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第七章载明的格式提供“单位授权书”。</w:t>
            </w:r>
          </w:p>
        </w:tc>
      </w:tr>
    </w:tbl>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bCs/>
          <w:color w:val="auto"/>
          <w:sz w:val="24"/>
          <w:szCs w:val="24"/>
          <w:highlight w:val="none"/>
        </w:rPr>
      </w:pPr>
      <w:bookmarkStart w:id="17" w:name="OLE_LINK23"/>
      <w:r>
        <w:rPr>
          <w:rFonts w:hint="eastAsia" w:ascii="宋体" w:hAnsi="宋体" w:eastAsia="宋体" w:cs="宋体"/>
          <w:b/>
          <w:bCs/>
          <w:color w:val="auto"/>
          <w:sz w:val="24"/>
          <w:szCs w:val="24"/>
          <w:highlight w:val="none"/>
        </w:rPr>
        <w:t>※备注说明</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①投标人应根据自身实际情况提供上述资格要求的证明材料，格式可参考招标文件第七章提供。</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②投标人提供的相应证明材料复印件均应符合：内容完整、清晰、整洁，并由投标人加盖其单位公章。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bookmarkEnd w:id="17"/>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④其他资格证明文件：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采购包1：</w:t>
      </w:r>
    </w:p>
    <w:tbl>
      <w:tblPr>
        <w:tblStyle w:val="1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8"/>
        <w:gridCol w:w="71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85"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资格审查要求概况</w:t>
            </w:r>
          </w:p>
        </w:tc>
        <w:tc>
          <w:tcPr>
            <w:tcW w:w="381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85" w:type="pct"/>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资格承诺函</w:t>
            </w:r>
          </w:p>
        </w:tc>
        <w:tc>
          <w:tcPr>
            <w:tcW w:w="3814" w:type="pct"/>
            <w:vAlign w:val="top"/>
          </w:tcPr>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本采购包允许投标人采用资格承诺制。采用资格承诺制的投标人，应当根据投标（响应）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w:t>
            </w:r>
          </w:p>
          <w:p>
            <w:pPr>
              <w:pStyle w:val="21"/>
              <w:keepNext w:val="0"/>
              <w:keepLines w:val="0"/>
              <w:pageBreakBefore w:val="0"/>
              <w:widowControl w:val="0"/>
              <w:kinsoku/>
              <w:overflowPunct/>
              <w:topLinePunct w:val="0"/>
              <w:autoSpaceDE/>
              <w:bidi w:val="0"/>
              <w:adjustRightIn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②采购项目有特殊资格要求的，投标人还应按要求提供相应的证明材料。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185" w:type="pct"/>
            <w:vAlign w:val="center"/>
          </w:tcPr>
          <w:p>
            <w:pPr>
              <w:pStyle w:val="21"/>
              <w:keepNext w:val="0"/>
              <w:keepLines w:val="0"/>
              <w:pageBreakBefore w:val="0"/>
              <w:widowControl w:val="0"/>
              <w:kinsoku/>
              <w:overflowPunct/>
              <w:topLinePunct w:val="0"/>
              <w:autoSpaceDE/>
              <w:bidi w:val="0"/>
              <w:adjustRightIn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企业资质</w:t>
            </w:r>
          </w:p>
        </w:tc>
        <w:tc>
          <w:tcPr>
            <w:tcW w:w="3814" w:type="pct"/>
            <w:shd w:val="clear" w:color="auto" w:fill="auto"/>
            <w:vAlign w:val="top"/>
          </w:tcPr>
          <w:p>
            <w:pPr>
              <w:pStyle w:val="21"/>
              <w:widowControl w:val="0"/>
              <w:spacing w:line="5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应具备</w:t>
            </w:r>
            <w:r>
              <w:rPr>
                <w:rFonts w:ascii="宋体" w:hAnsi="宋体" w:eastAsia="宋体" w:cs="宋体"/>
                <w:color w:val="auto"/>
                <w:sz w:val="24"/>
                <w:szCs w:val="24"/>
                <w:highlight w:val="none"/>
                <w:lang w:eastAsia="zh-CN"/>
              </w:rPr>
              <w:t>有效的</w:t>
            </w:r>
            <w:r>
              <w:rPr>
                <w:rFonts w:hint="default" w:ascii="宋体" w:hAnsi="宋体" w:eastAsia="宋体" w:cs="宋体"/>
                <w:color w:val="auto"/>
                <w:sz w:val="24"/>
                <w:szCs w:val="24"/>
                <w:highlight w:val="none"/>
                <w:lang w:eastAsia="zh-CN"/>
              </w:rPr>
              <w:t>自然资源主管部门颁发的工程测量专业测绘乙级</w:t>
            </w:r>
            <w:r>
              <w:rPr>
                <w:rFonts w:hint="eastAsia" w:ascii="宋体" w:hAnsi="宋体" w:eastAsia="宋体" w:cs="宋体"/>
                <w:color w:val="auto"/>
                <w:sz w:val="24"/>
                <w:szCs w:val="24"/>
                <w:highlight w:val="none"/>
                <w:lang w:val="en-US" w:eastAsia="zh-CN"/>
              </w:rPr>
              <w:t>及以上</w:t>
            </w:r>
            <w:r>
              <w:rPr>
                <w:rFonts w:hint="default" w:ascii="宋体" w:hAnsi="宋体" w:eastAsia="宋体" w:cs="宋体"/>
                <w:color w:val="auto"/>
                <w:sz w:val="24"/>
                <w:szCs w:val="24"/>
                <w:highlight w:val="none"/>
                <w:lang w:eastAsia="zh-CN"/>
              </w:rPr>
              <w:t>资质，须提供有效证书复印件。</w:t>
            </w:r>
          </w:p>
          <w:p>
            <w:pPr>
              <w:pStyle w:val="21"/>
              <w:widowControl w:val="0"/>
              <w:spacing w:line="5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lang w:eastAsia="zh-CN"/>
              </w:rPr>
              <w:t>投标人应具备有效的建设行政主管部门核发的工程设计综合甲级或工程设计水利行业甲级</w:t>
            </w:r>
            <w:r>
              <w:rPr>
                <w:rFonts w:hint="default" w:ascii="宋体" w:hAnsi="宋体" w:eastAsia="宋体" w:cs="宋体"/>
                <w:color w:val="auto"/>
                <w:sz w:val="24"/>
                <w:szCs w:val="24"/>
                <w:highlight w:val="none"/>
                <w:lang w:eastAsia="zh-CN"/>
              </w:rPr>
              <w:t>资质，须提供有效证书复印件。</w:t>
            </w:r>
          </w:p>
        </w:tc>
      </w:tr>
    </w:tbl>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投标保证金。</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有下列情形之一的，资格审查不合格</w:t>
      </w:r>
      <w:r>
        <w:rPr>
          <w:rFonts w:hint="eastAsia" w:ascii="宋体" w:hAnsi="宋体" w:eastAsia="宋体" w:cs="宋体"/>
          <w:b w:val="0"/>
          <w:bCs/>
          <w:color w:val="auto"/>
          <w:sz w:val="24"/>
          <w:szCs w:val="24"/>
          <w:highlight w:val="none"/>
        </w:rPr>
        <w:t>：</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500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500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未按照</w:t>
            </w:r>
            <w:r>
              <w:rPr>
                <w:rFonts w:hint="eastAsia" w:ascii="宋体" w:hAnsi="宋体" w:eastAsia="宋体" w:cs="宋体"/>
                <w:b/>
                <w:color w:val="auto"/>
                <w:sz w:val="24"/>
                <w:szCs w:val="24"/>
                <w:highlight w:val="none"/>
                <w:lang w:eastAsia="zh-CN"/>
              </w:rPr>
              <w:t>招标文件</w:t>
            </w:r>
            <w:r>
              <w:rPr>
                <w:rFonts w:hint="eastAsia" w:ascii="宋体" w:hAnsi="宋体" w:eastAsia="宋体" w:cs="宋体"/>
                <w:b/>
                <w:color w:val="auto"/>
                <w:sz w:val="24"/>
                <w:szCs w:val="24"/>
                <w:highlight w:val="none"/>
              </w:rPr>
              <w:t>规定提交投标函</w:t>
            </w:r>
            <w:r>
              <w:rPr>
                <w:rFonts w:hint="eastAsia" w:ascii="宋体" w:hAnsi="宋体" w:eastAsia="宋体" w:cs="宋体"/>
                <w:b/>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500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未按照</w:t>
            </w:r>
            <w:r>
              <w:rPr>
                <w:rFonts w:hint="eastAsia" w:ascii="宋体" w:hAnsi="宋体" w:eastAsia="宋体" w:cs="宋体"/>
                <w:b/>
                <w:color w:val="auto"/>
                <w:sz w:val="24"/>
                <w:szCs w:val="24"/>
                <w:highlight w:val="none"/>
                <w:lang w:eastAsia="zh-CN"/>
              </w:rPr>
              <w:t>招标文件</w:t>
            </w:r>
            <w:r>
              <w:rPr>
                <w:rFonts w:hint="eastAsia" w:ascii="宋体" w:hAnsi="宋体" w:eastAsia="宋体" w:cs="宋体"/>
                <w:b/>
                <w:color w:val="auto"/>
                <w:sz w:val="24"/>
                <w:szCs w:val="24"/>
                <w:highlight w:val="none"/>
              </w:rPr>
              <w:t>规定提交</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的资格及资信文件</w:t>
            </w:r>
            <w:r>
              <w:rPr>
                <w:rFonts w:hint="eastAsia" w:ascii="宋体" w:hAnsi="宋体" w:eastAsia="宋体" w:cs="宋体"/>
                <w:b/>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500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未按照</w:t>
            </w:r>
            <w:r>
              <w:rPr>
                <w:rFonts w:hint="eastAsia" w:ascii="宋体" w:hAnsi="宋体" w:eastAsia="宋体" w:cs="宋体"/>
                <w:b/>
                <w:color w:val="auto"/>
                <w:sz w:val="24"/>
                <w:szCs w:val="24"/>
                <w:highlight w:val="none"/>
                <w:lang w:eastAsia="zh-CN"/>
              </w:rPr>
              <w:t>招标文件</w:t>
            </w:r>
            <w:r>
              <w:rPr>
                <w:rFonts w:hint="eastAsia" w:ascii="宋体" w:hAnsi="宋体" w:eastAsia="宋体" w:cs="宋体"/>
                <w:b/>
                <w:color w:val="auto"/>
                <w:sz w:val="24"/>
                <w:szCs w:val="24"/>
                <w:highlight w:val="none"/>
              </w:rPr>
              <w:t>规定提交投标保证金</w:t>
            </w:r>
            <w:r>
              <w:rPr>
                <w:rFonts w:hint="eastAsia" w:ascii="宋体" w:hAnsi="宋体" w:eastAsia="宋体" w:cs="宋体"/>
                <w:b/>
                <w:color w:val="auto"/>
                <w:sz w:val="24"/>
                <w:szCs w:val="24"/>
                <w:highlight w:val="none"/>
                <w:lang w:eastAsia="zh-CN"/>
              </w:rPr>
              <w:t>。</w:t>
            </w:r>
          </w:p>
        </w:tc>
      </w:tr>
    </w:tbl>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w:t>
      </w:r>
    </w:p>
    <w:tbl>
      <w:tblPr>
        <w:tblStyle w:val="1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6"/>
        <w:gridCol w:w="80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5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情形</w:t>
            </w:r>
          </w:p>
        </w:tc>
        <w:tc>
          <w:tcPr>
            <w:tcW w:w="434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5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其他情形</w:t>
            </w:r>
          </w:p>
        </w:tc>
        <w:tc>
          <w:tcPr>
            <w:tcW w:w="434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资格及资信证明部分中出现报价部分的全部或部分的投标报价信息</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或组成资料</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的，</w:t>
            </w:r>
            <w:r>
              <w:rPr>
                <w:rFonts w:hint="eastAsia" w:ascii="宋体" w:hAnsi="宋体" w:eastAsia="宋体" w:cs="宋体"/>
                <w:b/>
                <w:bCs/>
                <w:color w:val="auto"/>
                <w:sz w:val="24"/>
                <w:szCs w:val="24"/>
                <w:highlight w:val="none"/>
                <w:shd w:val="clear" w:color="auto" w:fill="FFFFFF"/>
              </w:rPr>
              <w:t>即视为</w:t>
            </w:r>
            <w:r>
              <w:rPr>
                <w:rFonts w:hint="eastAsia" w:ascii="宋体" w:hAnsi="宋体" w:eastAsia="宋体" w:cs="宋体"/>
                <w:b/>
                <w:bCs/>
                <w:color w:val="auto"/>
                <w:sz w:val="24"/>
                <w:szCs w:val="24"/>
                <w:highlight w:val="none"/>
                <w:shd w:val="clear" w:color="auto" w:fill="FFFFFF"/>
                <w:lang w:val="en-US" w:eastAsia="zh-CN"/>
              </w:rPr>
              <w:t>资格</w:t>
            </w:r>
            <w:r>
              <w:rPr>
                <w:rFonts w:hint="eastAsia" w:ascii="宋体" w:hAnsi="宋体" w:eastAsia="宋体" w:cs="宋体"/>
                <w:b/>
                <w:bCs/>
                <w:color w:val="auto"/>
                <w:sz w:val="24"/>
                <w:szCs w:val="24"/>
                <w:highlight w:val="none"/>
                <w:shd w:val="clear" w:color="auto" w:fill="FFFFFF"/>
              </w:rPr>
              <w:t>审查不合格，按无效投标处理。</w:t>
            </w:r>
          </w:p>
        </w:tc>
      </w:tr>
    </w:tbl>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若本项目接受联合体投标且投标人为联合体，联合体中有同类资质的供应商按照联合体分工承担相同工作的，应先按照资质等级较低的供应商确定资质等级，再按照本章第1.2、1.3、1.4条规定进行资格审查</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2、资格审查情况不得私自外泄，有关信息由</w:t>
      </w:r>
      <w:r>
        <w:rPr>
          <w:rFonts w:hint="eastAsia" w:ascii="宋体" w:hAnsi="宋体" w:eastAsia="宋体" w:cs="宋体"/>
          <w:b w:val="0"/>
          <w:bCs/>
          <w:color w:val="auto"/>
          <w:sz w:val="24"/>
          <w:szCs w:val="24"/>
          <w:highlight w:val="none"/>
          <w:lang w:eastAsia="zh-CN"/>
        </w:rPr>
        <w:t>卓知项目管理顾问有限公司</w:t>
      </w:r>
      <w:r>
        <w:rPr>
          <w:rFonts w:hint="eastAsia" w:ascii="宋体" w:hAnsi="宋体" w:eastAsia="宋体" w:cs="宋体"/>
          <w:b w:val="0"/>
          <w:bCs/>
          <w:color w:val="auto"/>
          <w:sz w:val="24"/>
          <w:szCs w:val="24"/>
          <w:highlight w:val="none"/>
        </w:rPr>
        <w:t>统一对外发布。</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3、资格审查合格的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不足三家的，不进行评标。同时，本次采购活动结束，</w:t>
      </w:r>
      <w:r>
        <w:rPr>
          <w:rFonts w:hint="eastAsia" w:ascii="宋体" w:hAnsi="宋体" w:eastAsia="宋体" w:cs="宋体"/>
          <w:b w:val="0"/>
          <w:bCs/>
          <w:color w:val="auto"/>
          <w:sz w:val="24"/>
          <w:szCs w:val="24"/>
          <w:highlight w:val="none"/>
          <w:lang w:eastAsia="zh-CN"/>
        </w:rPr>
        <w:t>卓知项目管理顾问有限公司</w:t>
      </w:r>
      <w:r>
        <w:rPr>
          <w:rFonts w:hint="eastAsia" w:ascii="宋体" w:hAnsi="宋体" w:eastAsia="宋体" w:cs="宋体"/>
          <w:b w:val="0"/>
          <w:bCs/>
          <w:color w:val="auto"/>
          <w:sz w:val="24"/>
          <w:szCs w:val="24"/>
          <w:highlight w:val="none"/>
        </w:rPr>
        <w:t>将依法组织后续采购活动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包括但不限于：重新招标、采用其他方式采购等</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1"/>
        <w:rPr>
          <w:rFonts w:hint="eastAsia" w:ascii="宋体" w:hAnsi="宋体" w:eastAsia="宋体" w:cs="宋体"/>
          <w:b w:val="0"/>
          <w:bCs/>
          <w:color w:val="auto"/>
          <w:sz w:val="24"/>
          <w:szCs w:val="24"/>
          <w:highlight w:val="none"/>
        </w:rPr>
      </w:pPr>
      <w:bookmarkStart w:id="18" w:name="_Toc29098"/>
      <w:r>
        <w:rPr>
          <w:rFonts w:hint="eastAsia" w:ascii="宋体" w:hAnsi="宋体" w:eastAsia="宋体" w:cs="宋体"/>
          <w:b/>
          <w:bCs w:val="0"/>
          <w:color w:val="auto"/>
          <w:sz w:val="28"/>
          <w:szCs w:val="28"/>
          <w:highlight w:val="none"/>
        </w:rPr>
        <w:t>二、评标</w:t>
      </w:r>
      <w:bookmarkEnd w:id="18"/>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4、资格审查结束后，由</w:t>
      </w:r>
      <w:r>
        <w:rPr>
          <w:rFonts w:hint="eastAsia" w:ascii="宋体" w:hAnsi="宋体" w:eastAsia="宋体" w:cs="宋体"/>
          <w:b w:val="0"/>
          <w:bCs/>
          <w:color w:val="auto"/>
          <w:sz w:val="24"/>
          <w:szCs w:val="24"/>
          <w:highlight w:val="none"/>
          <w:lang w:eastAsia="zh-CN"/>
        </w:rPr>
        <w:t>卓知项目管理顾问有限公司</w:t>
      </w:r>
      <w:r>
        <w:rPr>
          <w:rFonts w:hint="eastAsia" w:ascii="宋体" w:hAnsi="宋体" w:eastAsia="宋体" w:cs="宋体"/>
          <w:color w:val="auto"/>
          <w:sz w:val="24"/>
          <w:szCs w:val="24"/>
          <w:highlight w:val="none"/>
        </w:rPr>
        <w:t>负责评标委员会的组建及评标工作的组织</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5、评标委员会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由采购人代表和评审专家两部分共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人组成，其中由福建省政府采购评审专家库产生的评审专家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人，由采购人派出的采购人代表</w:t>
      </w:r>
      <w:r>
        <w:rPr>
          <w:rFonts w:hint="eastAsia" w:ascii="宋体" w:hAnsi="宋体" w:eastAsia="宋体" w:cs="宋体"/>
          <w:color w:val="auto"/>
          <w:sz w:val="24"/>
          <w:szCs w:val="24"/>
          <w:highlight w:val="none"/>
          <w:lang w:val="en-US" w:eastAsia="zh-CN"/>
        </w:rPr>
        <w:t>1人</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评标委员会负责具体评标事务，并按照下列原则依法独立履行有关职责：</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评标应保护国家利益、社会公共利益和各方当事人合法权益，提高采购效益，保证项目质量</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评标应遵循公平、公正、科学、严谨和择优原则</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评标的依据是招标文件和电子投标文件</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应按照招标文件规定推荐中标候选人或确定中标人</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5</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评标应遵守下列评标纪律</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w:t>
      </w:r>
      <w:r>
        <w:rPr>
          <w:rFonts w:hint="eastAsia" w:ascii="宋体" w:hAnsi="宋体" w:eastAsia="宋体" w:cs="宋体"/>
          <w:color w:val="auto"/>
          <w:sz w:val="24"/>
          <w:szCs w:val="24"/>
          <w:highlight w:val="none"/>
        </w:rPr>
        <w:t>评标情况不得私自外泄，有关信息由</w:t>
      </w:r>
      <w:r>
        <w:rPr>
          <w:rFonts w:hint="eastAsia" w:ascii="宋体" w:hAnsi="宋体" w:eastAsia="宋体" w:cs="宋体"/>
          <w:b w:val="0"/>
          <w:bCs/>
          <w:color w:val="auto"/>
          <w:sz w:val="24"/>
          <w:szCs w:val="24"/>
          <w:highlight w:val="none"/>
          <w:lang w:eastAsia="zh-CN"/>
        </w:rPr>
        <w:t>卓知项目管理顾问有限公司</w:t>
      </w:r>
      <w:r>
        <w:rPr>
          <w:rFonts w:hint="eastAsia" w:ascii="宋体" w:hAnsi="宋体" w:eastAsia="宋体" w:cs="宋体"/>
          <w:color w:val="auto"/>
          <w:sz w:val="24"/>
          <w:szCs w:val="24"/>
          <w:highlight w:val="none"/>
        </w:rPr>
        <w:t>统一对外发布</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②对</w:t>
      </w:r>
      <w:r>
        <w:rPr>
          <w:rFonts w:hint="eastAsia" w:ascii="宋体" w:hAnsi="宋体" w:eastAsia="宋体" w:cs="宋体"/>
          <w:b w:val="0"/>
          <w:bCs/>
          <w:color w:val="auto"/>
          <w:sz w:val="24"/>
          <w:szCs w:val="24"/>
          <w:highlight w:val="none"/>
          <w:lang w:eastAsia="zh-CN"/>
        </w:rPr>
        <w:t>卓知项目管理顾问有限公司</w:t>
      </w:r>
      <w:r>
        <w:rPr>
          <w:rFonts w:hint="eastAsia" w:ascii="宋体" w:hAnsi="宋体" w:eastAsia="宋体" w:cs="宋体"/>
          <w:color w:val="auto"/>
          <w:sz w:val="24"/>
          <w:szCs w:val="24"/>
          <w:highlight w:val="none"/>
        </w:rPr>
        <w:t>或投标人提供的要求保密的资料，不得摘记翻印和外传</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③</w:t>
      </w:r>
      <w:r>
        <w:rPr>
          <w:rFonts w:hint="eastAsia" w:ascii="宋体" w:hAnsi="宋体" w:eastAsia="宋体" w:cs="宋体"/>
          <w:color w:val="auto"/>
          <w:sz w:val="24"/>
          <w:szCs w:val="24"/>
          <w:highlight w:val="none"/>
        </w:rPr>
        <w:t>不得收受投标人或有关人员的任何礼物，不得串联鼓动其他人袒护某投标人。若与投标人存在利害关系，则应主动声明并回避</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④</w:t>
      </w:r>
      <w:r>
        <w:rPr>
          <w:rFonts w:hint="eastAsia" w:ascii="宋体" w:hAnsi="宋体" w:eastAsia="宋体" w:cs="宋体"/>
          <w:color w:val="auto"/>
          <w:sz w:val="24"/>
          <w:szCs w:val="24"/>
          <w:highlight w:val="none"/>
        </w:rPr>
        <w:t>全体评委应按照招标文件规定进行评标，一切认定事项应查有实据且不得弄虚作假</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⑤</w:t>
      </w:r>
      <w:r>
        <w:rPr>
          <w:rFonts w:hint="eastAsia" w:ascii="宋体" w:hAnsi="宋体" w:eastAsia="宋体" w:cs="宋体"/>
          <w:color w:val="auto"/>
          <w:sz w:val="24"/>
          <w:szCs w:val="24"/>
          <w:highlight w:val="none"/>
        </w:rPr>
        <w:t>评标中应充分发扬民主，推荐中标候选人或确定中标人后要服从评标报告</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highlight w:val="none"/>
        </w:rPr>
        <w:t>※对违反评标纪律的评委，将取消其评委资格，对评标工作造成严重损失者将予以通报批评乃至追究法律责任</w:t>
      </w:r>
      <w:r>
        <w:rPr>
          <w:rFonts w:hint="eastAsia" w:ascii="宋体" w:hAnsi="宋体" w:eastAsia="宋体" w:cs="宋体"/>
          <w:b/>
          <w:bCs w:val="0"/>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6、评标程序</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评标前的准备工作</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全体评委应认真审阅招标文件，了解评委应履行或遵守的职责、义务和评标纪律。</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参加评标委员会的采购人代表可对本项目的背景和采购需求进行介绍，介绍材料应以书面形式提交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随采购文件一并存档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，介绍内容不得含有歧视性、倾向性意见，不得超出招标文件所述范围</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符合性审查</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评标委员会依据招标文件的实质性要求，对通过资格审查的电子投标文件进行符合性审查，以确定其是否满足招标文件的实质性要求。</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满足招标文件的实质性要求指电子投标文件对招标文件实质性要求的响应不存在重大偏差或保留。</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评标委员会审查判断电子投标文件是否满足招标文件的实质性要求仅基于电子投标文件本身而不寻求其他的外部证据。未满足招标文件实质性要求的电子投标文件将被评标委员会否决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即符合性审查不合格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，被否决的电子投标文件不能通过补充、修改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澄清、说明或补正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等方式重新成为满足招标文件实质性要求的电子投标文件。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评标委员会对所有投标人都执行相同的程序和标准。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有下列情形之一的，符合性审查不合格</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①项目一般情形：</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采购包1：</w:t>
      </w:r>
    </w:p>
    <w:tbl>
      <w:tblPr>
        <w:tblStyle w:val="1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5"/>
        <w:gridCol w:w="2330"/>
        <w:gridCol w:w="58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5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序号</w:t>
            </w:r>
          </w:p>
        </w:tc>
        <w:tc>
          <w:tcPr>
            <w:tcW w:w="125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符合审查要求概况</w:t>
            </w:r>
          </w:p>
        </w:tc>
        <w:tc>
          <w:tcPr>
            <w:tcW w:w="316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5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25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情形1</w:t>
            </w:r>
          </w:p>
        </w:tc>
        <w:tc>
          <w:tcPr>
            <w:tcW w:w="316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违反</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5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125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情形2</w:t>
            </w:r>
          </w:p>
        </w:tc>
        <w:tc>
          <w:tcPr>
            <w:tcW w:w="316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属于</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5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125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情形3</w:t>
            </w:r>
          </w:p>
        </w:tc>
        <w:tc>
          <w:tcPr>
            <w:tcW w:w="316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投标文件对</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实质性要求的响应存在重大偏离或保留。</w:t>
            </w:r>
          </w:p>
        </w:tc>
      </w:tr>
    </w:tbl>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②本项目规定的其他情形：</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采购包1：</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1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65"/>
        <w:gridCol w:w="7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4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情形</w:t>
            </w:r>
          </w:p>
        </w:tc>
        <w:tc>
          <w:tcPr>
            <w:tcW w:w="405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4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其他情形</w:t>
            </w:r>
          </w:p>
        </w:tc>
        <w:tc>
          <w:tcPr>
            <w:tcW w:w="405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技术部分中出现报价部分的全部或部分的投标报价信息</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或组成资料</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的，即视为技术符合性审查不合格，</w:t>
            </w:r>
            <w:r>
              <w:rPr>
                <w:rFonts w:hint="eastAsia" w:ascii="宋体" w:hAnsi="宋体" w:eastAsia="宋体" w:cs="宋体"/>
                <w:b/>
                <w:bCs/>
                <w:color w:val="auto"/>
                <w:sz w:val="24"/>
                <w:szCs w:val="24"/>
                <w:highlight w:val="none"/>
                <w:shd w:val="clear" w:color="auto" w:fill="FFFFFF"/>
              </w:rPr>
              <w:t>按无效投标处理。</w:t>
            </w:r>
          </w:p>
        </w:tc>
      </w:tr>
    </w:tbl>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bl>
      <w:tblPr>
        <w:tblStyle w:val="1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35"/>
        <w:gridCol w:w="75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3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情形</w:t>
            </w:r>
          </w:p>
        </w:tc>
        <w:tc>
          <w:tcPr>
            <w:tcW w:w="406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93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其他情形</w:t>
            </w:r>
          </w:p>
        </w:tc>
        <w:tc>
          <w:tcPr>
            <w:tcW w:w="4068" w:type="pct"/>
            <w:vAlign w:val="center"/>
          </w:tcPr>
          <w:p>
            <w:pPr>
              <w:keepNext w:val="0"/>
              <w:keepLines w:val="0"/>
              <w:pageBreakBefore w:val="0"/>
              <w:widowControl w:val="0"/>
              <w:kinsoku/>
              <w:overflowPunct/>
              <w:topLinePunct w:val="0"/>
              <w:autoSpaceDE/>
              <w:autoSpaceDN w:val="0"/>
              <w:bidi w:val="0"/>
              <w:adjustRightInd/>
              <w:spacing w:line="500" w:lineRule="exact"/>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shd w:val="clear" w:color="auto" w:fill="FFFFFF"/>
              </w:rPr>
              <w:t>商务部分中出现报价部分的全部或部分的投标报价信息</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或组成资料</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的，即视为商务符合性审查不合格，</w:t>
            </w:r>
            <w:r>
              <w:rPr>
                <w:rFonts w:hint="eastAsia" w:ascii="宋体" w:hAnsi="宋体" w:eastAsia="宋体" w:cs="宋体"/>
                <w:b/>
                <w:bCs/>
                <w:color w:val="auto"/>
                <w:sz w:val="24"/>
                <w:szCs w:val="24"/>
                <w:highlight w:val="none"/>
                <w:shd w:val="clear" w:color="auto" w:fill="FFFFFF"/>
              </w:rPr>
              <w:t>按无效投标处理。</w:t>
            </w:r>
          </w:p>
        </w:tc>
      </w:tr>
    </w:tbl>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附加符合性：无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价格符合性：无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6.3</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澄清有关问题</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对通过符合性审查的电子投标文件中含义不明确、同类问题表述不一致或有明显文字和计算错误的内容，评标委员会将以书面形式要求投标人作出必要的澄清、说明或补正。</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投标人的澄清、说明或补正应由投标人代表在评标委员会规定的时间内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一般在半个小时左右，具体要求将根据实际情况在澄清通知中约定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电子投标文件报价出现前后不一致的，除招标文件另有规定外，按照下列规定修正：</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一览表内容与电子投标文件中相应内容不一致的，以开标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一览表为准；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③单价金额小数点或百分比有明显错位的，以开标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一览表的总价为准，并修改单价；</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④总价金额与按照单价汇总金额不一致的，以单价金额计算结果为准</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※同时出现两种以上不一致的，按照前款规定的顺序修正。修正后的报价应按照本章第6.3条第</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2</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款规定经投标人确认后产生约束力，投标人不确认的，其投标无效。</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关于细微偏差</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关于投标描述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即电子投标文件中描述的内容</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①投标描述前后不一致且不涉及证明材料的：按照本章第6.3条第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款规定执行。</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②投标描述与证明材料不一致或多份证明材料之间不一致的：</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a.评标委员会将要求投标人进行书面澄清，并按照不利于投标人的内容进行评标。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6.4</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比较与评价</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按照本章第7条载明的评标方法和标准，对符合性审查合格的电子投标文件进行比较与评价</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关于相同品牌产品</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政府采购服务类项目不适用本条款规定</w:t>
      </w:r>
      <w:r>
        <w:rPr>
          <w:rFonts w:hint="eastAsia" w:ascii="宋体" w:hAnsi="宋体" w:eastAsia="宋体" w:cs="宋体"/>
          <w:b w:val="0"/>
          <w:bCs/>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规定的方式：无。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未规定的，采取随机抽取方式确定，其他投标无效。</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规定的方式：</w:t>
      </w:r>
      <w:r>
        <w:rPr>
          <w:rFonts w:hint="eastAsia" w:ascii="宋体" w:hAnsi="宋体" w:eastAsia="宋体" w:cs="宋体"/>
          <w:color w:val="auto"/>
          <w:sz w:val="24"/>
          <w:szCs w:val="24"/>
          <w:highlight w:val="none"/>
          <w:lang w:val="en-US" w:eastAsia="zh-CN"/>
        </w:rPr>
        <w:t>无</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b.</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未规定的，采取随机抽取方式确定，其他同品牌</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不作为中标候选人。</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③非单一产品采购项目，多家投标人提供的核心产品品牌相同的，按照本章第6.4条第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款第①、②规定处理</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项</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①招标文件中要求列入报价的费用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含配置、功能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项的报价视为已经包括在投标总价中</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②</w:t>
      </w:r>
      <w:r>
        <w:rPr>
          <w:rFonts w:hint="eastAsia" w:ascii="宋体" w:hAnsi="宋体" w:eastAsia="宋体" w:cs="宋体"/>
          <w:color w:val="auto"/>
          <w:sz w:val="24"/>
          <w:szCs w:val="24"/>
          <w:highlight w:val="none"/>
        </w:rPr>
        <w:t>对多报项及赠送项的价格评标时不予核减，全部进入评标价评议</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6.5</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推荐中标候选人：详见本章第7.2条规定</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6.6</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编写评标报告</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评标报告由评标委员会负责编写</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评标报告应包括下列内容</w:t>
      </w:r>
      <w:r>
        <w:rPr>
          <w:rFonts w:hint="eastAsia" w:ascii="宋体" w:hAnsi="宋体" w:eastAsia="宋体" w:cs="宋体"/>
          <w:b w:val="0"/>
          <w:bCs/>
          <w:color w:val="auto"/>
          <w:sz w:val="24"/>
          <w:szCs w:val="24"/>
          <w:highlight w:val="none"/>
        </w:rPr>
        <w:t>：</w:t>
      </w:r>
    </w:p>
    <w:p>
      <w:pPr>
        <w:pStyle w:val="21"/>
        <w:keepNext w:val="0"/>
        <w:keepLines w:val="0"/>
        <w:pageBreakBefore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①招标公告刊登的媒体名称、开标日期和地点；</w:t>
      </w:r>
    </w:p>
    <w:p>
      <w:pPr>
        <w:pStyle w:val="21"/>
        <w:keepNext w:val="0"/>
        <w:keepLines w:val="0"/>
        <w:pageBreakBefore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②投标人名单和评标委员会成员名单；</w:t>
      </w:r>
    </w:p>
    <w:p>
      <w:pPr>
        <w:pStyle w:val="21"/>
        <w:keepNext w:val="0"/>
        <w:keepLines w:val="0"/>
        <w:pageBreakBefore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③评标方法和标准；</w:t>
      </w:r>
    </w:p>
    <w:p>
      <w:pPr>
        <w:pStyle w:val="21"/>
        <w:keepNext w:val="0"/>
        <w:keepLines w:val="0"/>
        <w:pageBreakBefore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④开标记录和评标情况及说明，包括无效投标人名单及原因；</w:t>
      </w:r>
    </w:p>
    <w:p>
      <w:pPr>
        <w:pStyle w:val="21"/>
        <w:keepNext w:val="0"/>
        <w:keepLines w:val="0"/>
        <w:pageBreakBefore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⑤评标结果，包括中标候选人名单或确定的中标人；</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⑥其他需要说明的情况，包括但不限于：评标过程中投标人的澄清、说明或补正，评委更换等</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6.7</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color w:val="auto"/>
          <w:sz w:val="24"/>
          <w:szCs w:val="24"/>
          <w:highlight w:val="none"/>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r>
        <w:rPr>
          <w:rFonts w:hint="eastAsia" w:ascii="宋体" w:hAnsi="宋体" w:eastAsia="宋体" w:cs="宋体"/>
          <w:b/>
          <w:bCs w:val="0"/>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rPr>
        <w:t>6.8</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评委对需要共同认定的事项存在争议的，应按照少数服从多数的原则进行认定。</w:t>
      </w:r>
      <w:r>
        <w:rPr>
          <w:rFonts w:hint="eastAsia" w:ascii="宋体" w:hAnsi="宋体" w:eastAsia="宋体" w:cs="宋体"/>
          <w:b/>
          <w:bCs/>
          <w:color w:val="auto"/>
          <w:sz w:val="24"/>
          <w:szCs w:val="24"/>
          <w:highlight w:val="none"/>
        </w:rPr>
        <w:t>持不同意见的评委应在评标报告上签署不同意见及理由，否则视为同意评标报告。</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6.9</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color w:val="auto"/>
          <w:sz w:val="24"/>
          <w:szCs w:val="24"/>
          <w:highlight w:val="none"/>
        </w:rPr>
        <w:t>在评标过程中发现投标人有下列情形之一的，评标委员会应认定其投标无效，并书面报告本项目监督管理部门</w:t>
      </w:r>
      <w:r>
        <w:rPr>
          <w:rFonts w:hint="eastAsia" w:ascii="宋体" w:hAnsi="宋体" w:eastAsia="宋体" w:cs="宋体"/>
          <w:b w:val="0"/>
          <w:bCs/>
          <w:color w:val="auto"/>
          <w:sz w:val="24"/>
          <w:szCs w:val="24"/>
          <w:highlight w:val="none"/>
        </w:rPr>
        <w:t>：</w:t>
      </w:r>
    </w:p>
    <w:p>
      <w:pPr>
        <w:pStyle w:val="21"/>
        <w:keepNext w:val="0"/>
        <w:keepLines w:val="0"/>
        <w:pageBreakBefore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恶意串通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包括但不限于招标文件第三章第9.7条规定情形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1"/>
        <w:keepNext w:val="0"/>
        <w:keepLines w:val="0"/>
        <w:pageBreakBefore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妨碍其他投标人的竞争行为；</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损害采购人或其他投标人的合法权益</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6.10</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评标过程中，有下列情形之一的，应予废标：</w:t>
      </w:r>
    </w:p>
    <w:p>
      <w:pPr>
        <w:pStyle w:val="21"/>
        <w:keepNext w:val="0"/>
        <w:keepLines w:val="0"/>
        <w:pageBreakBefore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符合性审查合格的投标人不足三家的；</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有关法律、法规和规章规定废标的情形</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highlight w:val="none"/>
        </w:rPr>
        <w:t>※若废标，则本次采购活动结束， 福建省公共资源交易中心 将依法组织后续采购活动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包括但不限于：重新招标、采用其他方式采购等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val="0"/>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7、评标方法和标准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评标方法：</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采购包1：</w:t>
      </w:r>
      <w:r>
        <w:rPr>
          <w:rFonts w:hint="eastAsia" w:ascii="宋体" w:hAnsi="宋体" w:eastAsia="宋体" w:cs="宋体"/>
          <w:color w:val="auto"/>
          <w:sz w:val="24"/>
          <w:szCs w:val="24"/>
          <w:highlight w:val="none"/>
        </w:rPr>
        <w:t>综合评分法</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7.2评标标准</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投标文件满足招标文件全部实质性要求，且按照评审因素的量化指标评审得分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即评标总得分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最高的投标人为中标候选人。</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满分时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F1×A1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满分为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满足招标文件要求且报价最低的为评审基准价，价格得分＝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评审基准价/报价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×标准分值。</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价格扣除的规则如下：</w:t>
      </w:r>
    </w:p>
    <w:tbl>
      <w:tblPr>
        <w:tblStyle w:val="16"/>
        <w:tblW w:w="499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1191"/>
        <w:gridCol w:w="718"/>
        <w:gridCol w:w="63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585" w:type="pct"/>
            <w:vAlign w:val="center"/>
          </w:tcPr>
          <w:p>
            <w:pPr>
              <w:pStyle w:val="2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639" w:type="pct"/>
            <w:vAlign w:val="center"/>
          </w:tcPr>
          <w:p>
            <w:pPr>
              <w:pStyle w:val="2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适用对象</w:t>
            </w:r>
          </w:p>
        </w:tc>
        <w:tc>
          <w:tcPr>
            <w:tcW w:w="385" w:type="pct"/>
            <w:vAlign w:val="center"/>
          </w:tcPr>
          <w:p>
            <w:pPr>
              <w:pStyle w:val="2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比例</w:t>
            </w:r>
          </w:p>
        </w:tc>
        <w:tc>
          <w:tcPr>
            <w:tcW w:w="3389" w:type="pct"/>
            <w:vAlign w:val="center"/>
          </w:tcPr>
          <w:p>
            <w:pPr>
              <w:pStyle w:val="2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585" w:type="pct"/>
            <w:vAlign w:val="center"/>
          </w:tcPr>
          <w:p>
            <w:pPr>
              <w:pStyle w:val="2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639" w:type="pct"/>
            <w:vAlign w:val="center"/>
          </w:tcPr>
          <w:p>
            <w:pPr>
              <w:pStyle w:val="2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385" w:type="pct"/>
            <w:vAlign w:val="center"/>
          </w:tcPr>
          <w:p>
            <w:pPr>
              <w:pStyle w:val="21"/>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eastAsia="zh-CN"/>
              </w:rPr>
              <w:t>％</w:t>
            </w:r>
          </w:p>
        </w:tc>
        <w:tc>
          <w:tcPr>
            <w:tcW w:w="3389" w:type="pct"/>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经采购人确认，本采购包为非专门面向中小企业采购项目。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具体详见招标文件第二章、第五章规定，上述规定与政府采购相关法律、法规、制度等有冲突的，以现行法律、法规、制度等执行。注：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val="en-US" w:eastAsia="zh-CN"/>
              </w:rPr>
              <w:t>5、本采购包为服务类采购项目，采购标的对应的中小企业划分标准所属行业为“</w:t>
            </w:r>
            <w:r>
              <w:rPr>
                <w:rFonts w:hint="eastAsia" w:ascii="宋体" w:hAnsi="宋体" w:eastAsia="宋体" w:cs="宋体"/>
                <w:color w:val="auto"/>
                <w:spacing w:val="0"/>
                <w:kern w:val="0"/>
                <w:sz w:val="24"/>
                <w:szCs w:val="24"/>
                <w:highlight w:val="none"/>
                <w:lang w:val="en-US" w:eastAsia="zh-CN" w:bidi="ar"/>
              </w:rPr>
              <w:t>其他未列明行业</w:t>
            </w:r>
            <w:r>
              <w:rPr>
                <w:rFonts w:hint="eastAsia" w:ascii="宋体" w:hAnsi="宋体" w:eastAsia="宋体" w:cs="宋体"/>
                <w:color w:val="auto"/>
                <w:kern w:val="0"/>
                <w:sz w:val="24"/>
                <w:highlight w:val="none"/>
                <w:lang w:val="en-US" w:eastAsia="zh-CN"/>
              </w:rPr>
              <w:t>”。</w:t>
            </w:r>
          </w:p>
        </w:tc>
      </w:tr>
    </w:tbl>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F2×A2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满分为</w:t>
      </w: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rPr>
        <w:t>分</w:t>
      </w:r>
    </w:p>
    <w:tbl>
      <w:tblPr>
        <w:tblStyle w:val="16"/>
        <w:tblW w:w="499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91"/>
        <w:gridCol w:w="721"/>
        <w:gridCol w:w="997"/>
        <w:gridCol w:w="61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0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38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535"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是否客观项</w:t>
            </w:r>
          </w:p>
        </w:tc>
        <w:tc>
          <w:tcPr>
            <w:tcW w:w="3277" w:type="pct"/>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lang w:val="en-US" w:eastAsia="zh-Hans"/>
              </w:rPr>
            </w:pPr>
            <w:r>
              <w:rPr>
                <w:rFonts w:hint="eastAsia" w:ascii="宋体" w:hAnsi="宋体" w:eastAsia="宋体" w:cs="宋体"/>
                <w:b/>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00" w:type="pct"/>
            <w:shd w:val="clear" w:color="auto" w:fill="auto"/>
            <w:vAlign w:val="center"/>
          </w:tcPr>
          <w:p>
            <w:pPr>
              <w:spacing w:line="50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1、技术要求响应情况</w:t>
            </w:r>
          </w:p>
        </w:tc>
        <w:tc>
          <w:tcPr>
            <w:tcW w:w="387" w:type="pct"/>
            <w:shd w:val="clear" w:color="auto" w:fill="auto"/>
            <w:vAlign w:val="center"/>
          </w:tcPr>
          <w:p>
            <w:pPr>
              <w:spacing w:line="500" w:lineRule="exact"/>
              <w:jc w:val="center"/>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highlight w:val="none"/>
                <w:lang w:val="en-US" w:eastAsia="zh-CN"/>
              </w:rPr>
              <w:t>57</w:t>
            </w:r>
          </w:p>
        </w:tc>
        <w:tc>
          <w:tcPr>
            <w:tcW w:w="535" w:type="pct"/>
            <w:shd w:val="clear" w:color="auto" w:fill="auto"/>
            <w:vAlign w:val="center"/>
          </w:tcPr>
          <w:p>
            <w:pPr>
              <w:spacing w:line="50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根据投标人对招标文件“第五章  招标内容及要求——二、技术和服务要求”各项要求的逐项响应承诺情况进行评分：</w:t>
            </w:r>
          </w:p>
          <w:p>
            <w:pPr>
              <w:widowControl/>
              <w:spacing w:line="50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①完全满足招标文件要求的得</w:t>
            </w:r>
            <w:r>
              <w:rPr>
                <w:rFonts w:hint="eastAsia" w:ascii="宋体" w:hAnsi="宋体" w:eastAsia="宋体" w:cs="宋体"/>
                <w:color w:val="auto"/>
                <w:kern w:val="0"/>
                <w:sz w:val="24"/>
                <w:highlight w:val="none"/>
                <w:lang w:val="en-US" w:eastAsia="zh-CN"/>
              </w:rPr>
              <w:t>57</w:t>
            </w:r>
            <w:r>
              <w:rPr>
                <w:rFonts w:hint="eastAsia" w:ascii="宋体" w:hAnsi="宋体" w:eastAsia="宋体" w:cs="宋体"/>
                <w:color w:val="auto"/>
                <w:kern w:val="0"/>
                <w:sz w:val="24"/>
                <w:highlight w:val="none"/>
              </w:rPr>
              <w:t>分；</w:t>
            </w:r>
          </w:p>
          <w:p>
            <w:pPr>
              <w:widowControl/>
              <w:spacing w:line="50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②以“★”标示的内容为不允许负偏离的实质性要求（共</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项）；</w:t>
            </w:r>
            <w:bookmarkStart w:id="23" w:name="_GoBack"/>
            <w:bookmarkEnd w:id="23"/>
          </w:p>
          <w:p>
            <w:pPr>
              <w:spacing w:line="500" w:lineRule="exac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0"/>
                <w:sz w:val="24"/>
                <w:highlight w:val="none"/>
              </w:rPr>
              <w:t>③未标示符号的内容为一般服务要求（共计</w:t>
            </w:r>
            <w:r>
              <w:rPr>
                <w:rFonts w:hint="eastAsia" w:ascii="宋体" w:hAnsi="宋体" w:eastAsia="宋体" w:cs="宋体"/>
                <w:color w:val="auto"/>
                <w:kern w:val="0"/>
                <w:sz w:val="24"/>
                <w:highlight w:val="none"/>
                <w:lang w:val="en-US" w:eastAsia="zh-CN"/>
              </w:rPr>
              <w:t>57</w:t>
            </w:r>
            <w:r>
              <w:rPr>
                <w:rFonts w:hint="eastAsia" w:ascii="宋体" w:hAnsi="宋体" w:eastAsia="宋体" w:cs="宋体"/>
                <w:color w:val="auto"/>
                <w:kern w:val="0"/>
                <w:sz w:val="24"/>
                <w:highlight w:val="none"/>
              </w:rPr>
              <w:t>项），每负偏离一项扣1分，扣完为止，正偏离不加分。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00"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2、小流域山洪灾害风险隐患数据补充调查方案</w:t>
            </w:r>
          </w:p>
        </w:tc>
        <w:tc>
          <w:tcPr>
            <w:tcW w:w="387"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3</w:t>
            </w:r>
          </w:p>
        </w:tc>
        <w:tc>
          <w:tcPr>
            <w:tcW w:w="535" w:type="pct"/>
            <w:shd w:val="clear" w:color="auto" w:fill="auto"/>
            <w:vAlign w:val="center"/>
          </w:tcPr>
          <w:p>
            <w:pPr>
              <w:spacing w:line="50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否</w:t>
            </w:r>
          </w:p>
        </w:tc>
        <w:tc>
          <w:tcPr>
            <w:tcW w:w="3277" w:type="pct"/>
            <w:shd w:val="clear" w:color="auto" w:fill="auto"/>
            <w:vAlign w:val="center"/>
          </w:tcPr>
          <w:p>
            <w:pPr>
              <w:spacing w:line="500" w:lineRule="exact"/>
              <w:rPr>
                <w:rFonts w:ascii="宋体" w:hAnsi="宋体" w:eastAsia="宋体" w:cs="宋体"/>
                <w:color w:val="auto"/>
                <w:kern w:val="0"/>
                <w:sz w:val="24"/>
                <w:highlight w:val="none"/>
                <w:lang w:bidi="ar"/>
              </w:rPr>
            </w:pPr>
            <w:r>
              <w:rPr>
                <w:rFonts w:ascii="宋体" w:hAnsi="宋体" w:eastAsia="宋体" w:cs="宋体"/>
                <w:color w:val="auto"/>
                <w:kern w:val="0"/>
                <w:sz w:val="24"/>
                <w:highlight w:val="none"/>
                <w:lang w:bidi="ar"/>
              </w:rPr>
              <w:t>根据投标人针对本项目提供的小流域</w:t>
            </w:r>
            <w:r>
              <w:rPr>
                <w:rFonts w:hint="eastAsia" w:ascii="宋体" w:hAnsi="宋体" w:eastAsia="宋体" w:cs="宋体"/>
                <w:color w:val="auto"/>
                <w:kern w:val="0"/>
                <w:sz w:val="24"/>
                <w:highlight w:val="none"/>
                <w:lang w:bidi="ar"/>
              </w:rPr>
              <w:t>（20～50</w:t>
            </w:r>
            <w:r>
              <w:rPr>
                <w:rFonts w:hint="eastAsia" w:ascii="宋体" w:hAnsi="宋体" w:eastAsia="宋体" w:cs="宋体"/>
                <w:bCs/>
                <w:color w:val="auto"/>
                <w:sz w:val="24"/>
                <w:highlight w:val="none"/>
              </w:rPr>
              <w:t>km</w:t>
            </w:r>
            <w:r>
              <w:rPr>
                <w:rFonts w:hint="eastAsia" w:ascii="宋体" w:hAnsi="宋体" w:eastAsia="宋体" w:cs="宋体"/>
                <w:bCs/>
                <w:color w:val="auto"/>
                <w:sz w:val="24"/>
                <w:highlight w:val="none"/>
                <w:vertAlign w:val="superscript"/>
              </w:rPr>
              <w:t>2</w:t>
            </w:r>
            <w:r>
              <w:rPr>
                <w:rFonts w:hint="eastAsia" w:ascii="宋体" w:hAnsi="宋体" w:eastAsia="宋体" w:cs="宋体"/>
                <w:color w:val="auto"/>
                <w:kern w:val="0"/>
                <w:sz w:val="24"/>
                <w:highlight w:val="none"/>
                <w:lang w:bidi="ar"/>
              </w:rPr>
              <w:t>）</w:t>
            </w:r>
            <w:r>
              <w:rPr>
                <w:rFonts w:ascii="宋体" w:hAnsi="宋体" w:eastAsia="宋体" w:cs="宋体"/>
                <w:color w:val="auto"/>
                <w:kern w:val="0"/>
                <w:sz w:val="24"/>
                <w:highlight w:val="none"/>
                <w:lang w:bidi="ar"/>
              </w:rPr>
              <w:t>山洪灾害风险隐患数据补充</w:t>
            </w:r>
            <w:r>
              <w:rPr>
                <w:rFonts w:hint="eastAsia" w:ascii="宋体" w:hAnsi="宋体" w:eastAsia="宋体" w:cs="宋体"/>
                <w:color w:val="auto"/>
                <w:kern w:val="0"/>
                <w:sz w:val="24"/>
                <w:highlight w:val="none"/>
                <w:lang w:bidi="ar"/>
              </w:rPr>
              <w:t>调查</w:t>
            </w:r>
            <w:r>
              <w:rPr>
                <w:rFonts w:ascii="宋体" w:hAnsi="宋体" w:eastAsia="宋体" w:cs="宋体"/>
                <w:color w:val="auto"/>
                <w:kern w:val="0"/>
                <w:sz w:val="24"/>
                <w:highlight w:val="none"/>
                <w:lang w:bidi="ar"/>
              </w:rPr>
              <w:t>方案（包含但不限于：全省堤防分布现状、堤防测量清单、堤顶高程测量技术要求、技术路线以及360全景拍摄方案及清单等）</w:t>
            </w:r>
            <w:r>
              <w:rPr>
                <w:rFonts w:hint="eastAsia" w:ascii="宋体" w:hAnsi="宋体" w:eastAsia="宋体" w:cs="宋体"/>
                <w:color w:val="auto"/>
                <w:kern w:val="0"/>
                <w:sz w:val="24"/>
                <w:highlight w:val="none"/>
                <w:lang w:bidi="ar"/>
              </w:rPr>
              <w:t>，由评标委员会进行评分：</w:t>
            </w:r>
          </w:p>
          <w:p>
            <w:pPr>
              <w:spacing w:line="500" w:lineRule="exact"/>
              <w:rPr>
                <w:rFonts w:ascii="宋体" w:hAnsi="宋体" w:eastAsia="宋体" w:cs="宋体"/>
                <w:color w:val="auto"/>
                <w:kern w:val="0"/>
                <w:sz w:val="24"/>
                <w:highlight w:val="none"/>
                <w:lang w:bidi="ar"/>
              </w:rPr>
            </w:pPr>
            <w:r>
              <w:rPr>
                <w:rFonts w:hint="eastAsia" w:ascii="宋体" w:hAnsi="宋体" w:eastAsia="宋体" w:cs="宋体"/>
                <w:bCs/>
                <w:color w:val="auto"/>
                <w:kern w:val="21"/>
                <w:sz w:val="24"/>
                <w:highlight w:val="none"/>
              </w:rPr>
              <w:t>①</w:t>
            </w:r>
            <w:r>
              <w:rPr>
                <w:rFonts w:hint="eastAsia" w:ascii="宋体" w:hAnsi="宋体" w:cs="宋体"/>
                <w:bCs/>
                <w:color w:val="auto"/>
                <w:kern w:val="21"/>
                <w:sz w:val="24"/>
                <w:highlight w:val="none"/>
              </w:rPr>
              <w:t>方案</w:t>
            </w:r>
            <w:r>
              <w:rPr>
                <w:rFonts w:hint="eastAsia" w:ascii="宋体" w:hAnsi="宋体" w:eastAsia="宋体" w:cs="宋体"/>
                <w:bCs/>
                <w:color w:val="auto"/>
                <w:kern w:val="21"/>
                <w:sz w:val="24"/>
                <w:highlight w:val="none"/>
              </w:rPr>
              <w:t>所包含的要点齐全无缺漏项、内容与要点相符、</w:t>
            </w:r>
            <w:r>
              <w:rPr>
                <w:rFonts w:hint="eastAsia" w:ascii="宋体" w:hAnsi="宋体" w:eastAsia="宋体" w:cs="宋体"/>
                <w:bCs/>
                <w:color w:val="auto"/>
                <w:sz w:val="24"/>
                <w:highlight w:val="none"/>
              </w:rPr>
              <w:t>每个要点均有展开详细的阐述且能够适用于本项目得3分</w:t>
            </w:r>
            <w:r>
              <w:rPr>
                <w:rFonts w:hint="eastAsia" w:ascii="宋体" w:hAnsi="宋体" w:eastAsia="宋体" w:cs="宋体"/>
                <w:bCs/>
                <w:color w:val="auto"/>
                <w:kern w:val="21"/>
                <w:sz w:val="24"/>
                <w:highlight w:val="none"/>
              </w:rPr>
              <w:t>；</w:t>
            </w:r>
            <w:r>
              <w:rPr>
                <w:rFonts w:hint="eastAsia" w:ascii="宋体" w:hAnsi="宋体" w:eastAsia="宋体" w:cs="宋体"/>
                <w:bCs/>
                <w:color w:val="auto"/>
                <w:sz w:val="24"/>
                <w:highlight w:val="none"/>
              </w:rPr>
              <w:t>②</w:t>
            </w:r>
            <w:r>
              <w:rPr>
                <w:rFonts w:hint="eastAsia" w:ascii="宋体" w:hAnsi="宋体" w:cs="宋体"/>
                <w:bCs/>
                <w:color w:val="auto"/>
                <w:kern w:val="21"/>
                <w:sz w:val="24"/>
                <w:highlight w:val="none"/>
              </w:rPr>
              <w:t>方案</w:t>
            </w:r>
            <w:r>
              <w:rPr>
                <w:rFonts w:hint="eastAsia" w:ascii="宋体" w:hAnsi="宋体" w:eastAsia="宋体" w:cs="宋体"/>
                <w:bCs/>
                <w:color w:val="auto"/>
                <w:kern w:val="21"/>
                <w:sz w:val="24"/>
                <w:highlight w:val="none"/>
              </w:rPr>
              <w:t>所包含的要点齐全</w:t>
            </w:r>
            <w:r>
              <w:rPr>
                <w:rFonts w:hint="eastAsia" w:ascii="宋体" w:hAnsi="宋体" w:eastAsia="宋体" w:cs="宋体"/>
                <w:bCs/>
                <w:color w:val="auto"/>
                <w:sz w:val="24"/>
                <w:highlight w:val="none"/>
              </w:rPr>
              <w:t>、内容与要点相符、每个要点均有展开阐述且基本能够适用于本项目的得2.5分；</w:t>
            </w:r>
          </w:p>
          <w:p>
            <w:pPr>
              <w:spacing w:line="500" w:lineRule="exact"/>
              <w:rPr>
                <w:rFonts w:ascii="宋体" w:hAnsi="宋体" w:eastAsia="宋体" w:cs="宋体"/>
                <w:color w:val="auto"/>
                <w:kern w:val="0"/>
                <w:sz w:val="24"/>
                <w:highlight w:val="none"/>
                <w:lang w:bidi="ar"/>
              </w:rPr>
            </w:pPr>
            <w:r>
              <w:rPr>
                <w:rFonts w:hint="eastAsia" w:ascii="宋体" w:hAnsi="宋体" w:eastAsia="宋体" w:cs="宋体"/>
                <w:bCs/>
                <w:color w:val="auto"/>
                <w:sz w:val="24"/>
                <w:highlight w:val="none"/>
              </w:rPr>
              <w:t>③</w:t>
            </w:r>
            <w:r>
              <w:rPr>
                <w:rFonts w:hint="eastAsia" w:ascii="宋体" w:hAnsi="宋体" w:cs="宋体"/>
                <w:bCs/>
                <w:color w:val="auto"/>
                <w:kern w:val="21"/>
                <w:sz w:val="24"/>
                <w:highlight w:val="none"/>
              </w:rPr>
              <w:t>方案</w:t>
            </w:r>
            <w:r>
              <w:rPr>
                <w:rFonts w:hint="eastAsia" w:ascii="宋体" w:hAnsi="宋体" w:eastAsia="宋体" w:cs="宋体"/>
                <w:bCs/>
                <w:color w:val="auto"/>
                <w:kern w:val="21"/>
                <w:sz w:val="24"/>
                <w:highlight w:val="none"/>
              </w:rPr>
              <w:t>所包含的要点</w:t>
            </w:r>
            <w:r>
              <w:rPr>
                <w:rFonts w:hint="eastAsia" w:ascii="宋体" w:hAnsi="宋体" w:eastAsia="宋体" w:cs="宋体"/>
                <w:bCs/>
                <w:color w:val="auto"/>
                <w:sz w:val="24"/>
                <w:highlight w:val="none"/>
              </w:rPr>
              <w:t>有缺漏、内容与要点相符、</w:t>
            </w:r>
            <w:r>
              <w:rPr>
                <w:rFonts w:hint="eastAsia" w:ascii="宋体" w:hAnsi="宋体" w:eastAsia="宋体" w:cs="宋体"/>
                <w:bCs/>
                <w:color w:val="auto"/>
                <w:kern w:val="21"/>
                <w:sz w:val="24"/>
                <w:highlight w:val="none"/>
              </w:rPr>
              <w:t>但仅有纲要内容简略的得</w:t>
            </w:r>
            <w:r>
              <w:rPr>
                <w:rFonts w:hint="eastAsia" w:ascii="宋体" w:hAnsi="宋体" w:cs="宋体"/>
                <w:bCs/>
                <w:color w:val="auto"/>
                <w:kern w:val="21"/>
                <w:sz w:val="24"/>
                <w:highlight w:val="none"/>
              </w:rPr>
              <w:t>2</w:t>
            </w:r>
            <w:r>
              <w:rPr>
                <w:rFonts w:hint="eastAsia" w:ascii="宋体" w:hAnsi="宋体" w:eastAsia="宋体" w:cs="宋体"/>
                <w:bCs/>
                <w:color w:val="auto"/>
                <w:kern w:val="21"/>
                <w:sz w:val="24"/>
                <w:highlight w:val="none"/>
              </w:rPr>
              <w:t>分</w:t>
            </w:r>
            <w:r>
              <w:rPr>
                <w:rFonts w:hint="eastAsia" w:ascii="宋体" w:hAnsi="宋体" w:cs="宋体"/>
                <w:bCs/>
                <w:color w:val="auto"/>
                <w:kern w:val="21"/>
                <w:sz w:val="24"/>
                <w:highlight w:val="none"/>
              </w:rPr>
              <w:t>；</w:t>
            </w:r>
          </w:p>
          <w:p>
            <w:pPr>
              <w:spacing w:line="500" w:lineRule="exact"/>
              <w:rPr>
                <w:rFonts w:hint="eastAsia" w:ascii="宋体" w:hAnsi="宋体" w:eastAsia="宋体" w:cs="宋体"/>
                <w:color w:val="auto"/>
                <w:kern w:val="0"/>
                <w:sz w:val="24"/>
                <w:highlight w:val="none"/>
                <w:lang w:val="en-US" w:eastAsia="zh-CN" w:bidi="ar"/>
              </w:rPr>
            </w:pPr>
            <w:r>
              <w:rPr>
                <w:rFonts w:hint="eastAsia" w:ascii="宋体" w:hAnsi="宋体" w:eastAsia="宋体" w:cs="宋体"/>
                <w:bCs/>
                <w:color w:val="auto"/>
                <w:sz w:val="24"/>
                <w:highlight w:val="none"/>
              </w:rPr>
              <w:t>④未提供或内容与要点不相符或内容不适用于本项目的不得分</w:t>
            </w:r>
            <w:r>
              <w:rPr>
                <w:rFonts w:ascii="宋体" w:hAnsi="宋体" w:eastAsia="宋体" w:cs="宋体"/>
                <w:color w:val="auto"/>
                <w:kern w:val="0"/>
                <w:sz w:val="24"/>
                <w:highlight w:val="none"/>
                <w:lang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00"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3、山洪灾害小流域复核和特性提取方案</w:t>
            </w:r>
          </w:p>
        </w:tc>
        <w:tc>
          <w:tcPr>
            <w:tcW w:w="387"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3</w:t>
            </w:r>
          </w:p>
        </w:tc>
        <w:tc>
          <w:tcPr>
            <w:tcW w:w="535"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否</w:t>
            </w:r>
          </w:p>
        </w:tc>
        <w:tc>
          <w:tcPr>
            <w:tcW w:w="3277" w:type="pct"/>
            <w:shd w:val="clear" w:color="auto" w:fill="auto"/>
            <w:vAlign w:val="top"/>
          </w:tcPr>
          <w:p>
            <w:pPr>
              <w:spacing w:line="500" w:lineRule="exact"/>
              <w:rPr>
                <w:rFonts w:ascii="宋体" w:hAnsi="宋体" w:eastAsia="宋体" w:cs="宋体"/>
                <w:color w:val="auto"/>
                <w:kern w:val="0"/>
                <w:sz w:val="24"/>
                <w:highlight w:val="none"/>
                <w:lang w:bidi="ar"/>
              </w:rPr>
            </w:pPr>
            <w:r>
              <w:rPr>
                <w:rFonts w:ascii="宋体" w:hAnsi="宋体" w:eastAsia="宋体" w:cs="宋体"/>
                <w:color w:val="auto"/>
                <w:kern w:val="0"/>
                <w:sz w:val="24"/>
                <w:highlight w:val="none"/>
                <w:lang w:bidi="ar"/>
              </w:rPr>
              <w:t>根据投标人针对本项目提供的</w:t>
            </w:r>
            <w:r>
              <w:rPr>
                <w:rFonts w:hint="eastAsia" w:ascii="宋体" w:hAnsi="宋体" w:eastAsia="宋体" w:cs="宋体"/>
                <w:color w:val="auto"/>
                <w:kern w:val="0"/>
                <w:sz w:val="24"/>
                <w:highlight w:val="none"/>
                <w:lang w:bidi="ar"/>
              </w:rPr>
              <w:t>山洪灾害小流域复核和特性提取方案</w:t>
            </w:r>
            <w:r>
              <w:rPr>
                <w:rFonts w:ascii="宋体" w:hAnsi="宋体" w:eastAsia="宋体" w:cs="宋体"/>
                <w:color w:val="auto"/>
                <w:kern w:val="0"/>
                <w:sz w:val="24"/>
                <w:highlight w:val="none"/>
                <w:lang w:bidi="ar"/>
              </w:rPr>
              <w:t>（包含但不限于：小流域范围</w:t>
            </w:r>
            <w:r>
              <w:rPr>
                <w:rFonts w:hint="eastAsia" w:ascii="宋体" w:hAnsi="宋体" w:eastAsia="宋体" w:cs="宋体"/>
                <w:color w:val="auto"/>
                <w:kern w:val="0"/>
                <w:sz w:val="24"/>
                <w:highlight w:val="none"/>
                <w:lang w:bidi="ar"/>
              </w:rPr>
              <w:t>示意图、流域面积、小流域河长及起点终点位置</w:t>
            </w:r>
            <w:r>
              <w:rPr>
                <w:rFonts w:ascii="宋体" w:hAnsi="宋体" w:eastAsia="宋体" w:cs="宋体"/>
                <w:color w:val="auto"/>
                <w:kern w:val="0"/>
                <w:sz w:val="24"/>
                <w:highlight w:val="none"/>
                <w:lang w:bidi="ar"/>
              </w:rPr>
              <w:t>等）</w:t>
            </w:r>
            <w:r>
              <w:rPr>
                <w:rFonts w:hint="eastAsia" w:ascii="宋体" w:hAnsi="宋体" w:eastAsia="宋体" w:cs="宋体"/>
                <w:color w:val="auto"/>
                <w:kern w:val="0"/>
                <w:sz w:val="24"/>
                <w:highlight w:val="none"/>
                <w:lang w:bidi="ar"/>
              </w:rPr>
              <w:t>，由评标委员会进行评分：</w:t>
            </w:r>
          </w:p>
          <w:p>
            <w:pPr>
              <w:spacing w:line="500" w:lineRule="exact"/>
              <w:rPr>
                <w:rFonts w:ascii="宋体" w:hAnsi="宋体" w:eastAsia="宋体" w:cs="宋体"/>
                <w:color w:val="auto"/>
                <w:kern w:val="0"/>
                <w:sz w:val="24"/>
                <w:highlight w:val="none"/>
                <w:lang w:bidi="ar"/>
              </w:rPr>
            </w:pPr>
            <w:r>
              <w:rPr>
                <w:rFonts w:hint="eastAsia" w:ascii="宋体" w:hAnsi="宋体" w:eastAsia="宋体" w:cs="宋体"/>
                <w:bCs/>
                <w:color w:val="auto"/>
                <w:kern w:val="21"/>
                <w:sz w:val="24"/>
                <w:highlight w:val="none"/>
              </w:rPr>
              <w:t>①</w:t>
            </w:r>
            <w:r>
              <w:rPr>
                <w:rFonts w:hint="eastAsia" w:ascii="宋体" w:hAnsi="宋体" w:cs="宋体"/>
                <w:bCs/>
                <w:color w:val="auto"/>
                <w:kern w:val="21"/>
                <w:sz w:val="24"/>
                <w:highlight w:val="none"/>
              </w:rPr>
              <w:t>方案</w:t>
            </w:r>
            <w:r>
              <w:rPr>
                <w:rFonts w:hint="eastAsia" w:ascii="宋体" w:hAnsi="宋体" w:eastAsia="宋体" w:cs="宋体"/>
                <w:bCs/>
                <w:color w:val="auto"/>
                <w:kern w:val="21"/>
                <w:sz w:val="24"/>
                <w:highlight w:val="none"/>
              </w:rPr>
              <w:t>所包含的要点齐全无缺漏项、内容与要点相符、</w:t>
            </w:r>
            <w:r>
              <w:rPr>
                <w:rFonts w:hint="eastAsia" w:ascii="宋体" w:hAnsi="宋体" w:eastAsia="宋体" w:cs="宋体"/>
                <w:bCs/>
                <w:color w:val="auto"/>
                <w:sz w:val="24"/>
                <w:highlight w:val="none"/>
              </w:rPr>
              <w:t>每个要点均有展开详细的阐述、</w:t>
            </w:r>
            <w:r>
              <w:rPr>
                <w:rFonts w:ascii="宋体" w:hAnsi="宋体" w:eastAsia="宋体" w:cs="宋体"/>
                <w:color w:val="auto"/>
                <w:kern w:val="0"/>
                <w:sz w:val="24"/>
                <w:highlight w:val="none"/>
                <w:lang w:bidi="ar"/>
              </w:rPr>
              <w:t>能提供不少于</w:t>
            </w:r>
            <w:r>
              <w:rPr>
                <w:rFonts w:hint="eastAsia" w:ascii="宋体" w:hAnsi="宋体" w:eastAsia="宋体" w:cs="宋体"/>
                <w:color w:val="auto"/>
                <w:kern w:val="0"/>
                <w:sz w:val="24"/>
                <w:highlight w:val="none"/>
                <w:lang w:bidi="ar"/>
              </w:rPr>
              <w:t>50</w:t>
            </w:r>
            <w:r>
              <w:rPr>
                <w:rFonts w:ascii="宋体" w:hAnsi="宋体" w:eastAsia="宋体" w:cs="宋体"/>
                <w:color w:val="auto"/>
                <w:kern w:val="0"/>
                <w:sz w:val="24"/>
                <w:highlight w:val="none"/>
                <w:lang w:bidi="ar"/>
              </w:rPr>
              <w:t>个小流域提取样例</w:t>
            </w:r>
            <w:r>
              <w:rPr>
                <w:rFonts w:hint="eastAsia" w:ascii="宋体" w:hAnsi="宋体" w:eastAsia="宋体" w:cs="宋体"/>
                <w:color w:val="auto"/>
                <w:kern w:val="0"/>
                <w:sz w:val="24"/>
                <w:highlight w:val="none"/>
                <w:lang w:bidi="ar"/>
              </w:rPr>
              <w:t>且</w:t>
            </w:r>
            <w:r>
              <w:rPr>
                <w:rFonts w:hint="eastAsia" w:ascii="宋体" w:hAnsi="宋体" w:eastAsia="宋体" w:cs="宋体"/>
                <w:bCs/>
                <w:color w:val="auto"/>
                <w:sz w:val="24"/>
                <w:highlight w:val="none"/>
              </w:rPr>
              <w:t>能够适用于本项目得3分</w:t>
            </w:r>
            <w:r>
              <w:rPr>
                <w:rFonts w:hint="eastAsia" w:ascii="宋体" w:hAnsi="宋体" w:eastAsia="宋体" w:cs="宋体"/>
                <w:bCs/>
                <w:color w:val="auto"/>
                <w:kern w:val="21"/>
                <w:sz w:val="24"/>
                <w:highlight w:val="none"/>
              </w:rPr>
              <w:t>；</w:t>
            </w:r>
          </w:p>
          <w:p>
            <w:pPr>
              <w:spacing w:line="500" w:lineRule="exact"/>
              <w:rPr>
                <w:rFonts w:ascii="宋体" w:hAnsi="宋体" w:eastAsia="宋体" w:cs="宋体"/>
                <w:color w:val="auto"/>
                <w:kern w:val="0"/>
                <w:sz w:val="24"/>
                <w:highlight w:val="none"/>
                <w:lang w:bidi="ar"/>
              </w:rPr>
            </w:pPr>
            <w:r>
              <w:rPr>
                <w:rFonts w:hint="eastAsia" w:ascii="宋体" w:hAnsi="宋体" w:eastAsia="宋体" w:cs="宋体"/>
                <w:bCs/>
                <w:color w:val="auto"/>
                <w:sz w:val="24"/>
                <w:highlight w:val="none"/>
              </w:rPr>
              <w:t>②</w:t>
            </w:r>
            <w:r>
              <w:rPr>
                <w:rFonts w:hint="eastAsia" w:ascii="宋体" w:hAnsi="宋体" w:cs="宋体"/>
                <w:bCs/>
                <w:color w:val="auto"/>
                <w:kern w:val="21"/>
                <w:sz w:val="24"/>
                <w:highlight w:val="none"/>
              </w:rPr>
              <w:t>方案</w:t>
            </w:r>
            <w:r>
              <w:rPr>
                <w:rFonts w:hint="eastAsia" w:ascii="宋体" w:hAnsi="宋体" w:eastAsia="宋体" w:cs="宋体"/>
                <w:bCs/>
                <w:color w:val="auto"/>
                <w:kern w:val="21"/>
                <w:sz w:val="24"/>
                <w:highlight w:val="none"/>
              </w:rPr>
              <w:t>所包含的要点齐全</w:t>
            </w:r>
            <w:r>
              <w:rPr>
                <w:rFonts w:hint="eastAsia" w:ascii="宋体" w:hAnsi="宋体" w:eastAsia="宋体" w:cs="宋体"/>
                <w:bCs/>
                <w:color w:val="auto"/>
                <w:sz w:val="24"/>
                <w:highlight w:val="none"/>
              </w:rPr>
              <w:t>、内容与要点相符、每个要点均有展开阐述、</w:t>
            </w:r>
            <w:r>
              <w:rPr>
                <w:rFonts w:ascii="宋体" w:hAnsi="宋体" w:eastAsia="宋体" w:cs="宋体"/>
                <w:color w:val="auto"/>
                <w:kern w:val="0"/>
                <w:sz w:val="24"/>
                <w:highlight w:val="none"/>
                <w:lang w:bidi="ar"/>
              </w:rPr>
              <w:t>能提供不少于</w:t>
            </w:r>
            <w:r>
              <w:rPr>
                <w:rFonts w:hint="eastAsia" w:ascii="宋体" w:hAnsi="宋体" w:eastAsia="宋体" w:cs="宋体"/>
                <w:color w:val="auto"/>
                <w:kern w:val="0"/>
                <w:sz w:val="24"/>
                <w:highlight w:val="none"/>
                <w:lang w:bidi="ar"/>
              </w:rPr>
              <w:t>30</w:t>
            </w:r>
            <w:r>
              <w:rPr>
                <w:rFonts w:ascii="宋体" w:hAnsi="宋体" w:eastAsia="宋体" w:cs="宋体"/>
                <w:color w:val="auto"/>
                <w:kern w:val="0"/>
                <w:sz w:val="24"/>
                <w:highlight w:val="none"/>
                <w:lang w:bidi="ar"/>
              </w:rPr>
              <w:t>个小流域提取样例</w:t>
            </w:r>
            <w:r>
              <w:rPr>
                <w:rFonts w:hint="eastAsia" w:ascii="宋体" w:hAnsi="宋体" w:eastAsia="宋体" w:cs="宋体"/>
                <w:color w:val="auto"/>
                <w:kern w:val="0"/>
                <w:sz w:val="24"/>
                <w:highlight w:val="none"/>
                <w:lang w:bidi="ar"/>
              </w:rPr>
              <w:t>且</w:t>
            </w:r>
            <w:r>
              <w:rPr>
                <w:rFonts w:hint="eastAsia" w:ascii="宋体" w:hAnsi="宋体" w:eastAsia="宋体" w:cs="宋体"/>
                <w:bCs/>
                <w:color w:val="auto"/>
                <w:sz w:val="24"/>
                <w:highlight w:val="none"/>
              </w:rPr>
              <w:t>基本能够适用于本项目的得2.5分；</w:t>
            </w:r>
          </w:p>
          <w:p>
            <w:pPr>
              <w:spacing w:line="500" w:lineRule="exact"/>
              <w:rPr>
                <w:rFonts w:ascii="宋体" w:hAnsi="宋体" w:eastAsia="宋体" w:cs="宋体"/>
                <w:bCs/>
                <w:color w:val="auto"/>
                <w:kern w:val="21"/>
                <w:sz w:val="24"/>
                <w:highlight w:val="none"/>
              </w:rPr>
            </w:pPr>
            <w:r>
              <w:rPr>
                <w:rFonts w:hint="eastAsia" w:ascii="宋体" w:hAnsi="宋体" w:eastAsia="宋体" w:cs="宋体"/>
                <w:bCs/>
                <w:color w:val="auto"/>
                <w:sz w:val="24"/>
                <w:highlight w:val="none"/>
              </w:rPr>
              <w:t>③</w:t>
            </w:r>
            <w:r>
              <w:rPr>
                <w:rFonts w:hint="eastAsia" w:ascii="宋体" w:hAnsi="宋体" w:cs="宋体"/>
                <w:bCs/>
                <w:color w:val="auto"/>
                <w:kern w:val="21"/>
                <w:sz w:val="24"/>
                <w:highlight w:val="none"/>
              </w:rPr>
              <w:t>方案</w:t>
            </w:r>
            <w:r>
              <w:rPr>
                <w:rFonts w:hint="eastAsia" w:ascii="宋体" w:hAnsi="宋体" w:eastAsia="宋体" w:cs="宋体"/>
                <w:bCs/>
                <w:color w:val="auto"/>
                <w:kern w:val="21"/>
                <w:sz w:val="24"/>
                <w:highlight w:val="none"/>
              </w:rPr>
              <w:t>所包含的要点</w:t>
            </w:r>
            <w:r>
              <w:rPr>
                <w:rFonts w:hint="eastAsia" w:ascii="宋体" w:hAnsi="宋体" w:eastAsia="宋体" w:cs="宋体"/>
                <w:bCs/>
                <w:color w:val="auto"/>
                <w:sz w:val="24"/>
                <w:highlight w:val="none"/>
              </w:rPr>
              <w:t>有缺漏、内容与要点相符、</w:t>
            </w:r>
            <w:r>
              <w:rPr>
                <w:rFonts w:hint="eastAsia" w:ascii="宋体" w:hAnsi="宋体" w:eastAsia="宋体" w:cs="宋体"/>
                <w:bCs/>
                <w:color w:val="auto"/>
                <w:kern w:val="21"/>
                <w:sz w:val="24"/>
                <w:highlight w:val="none"/>
              </w:rPr>
              <w:t>但仅有纲要内容简略、</w:t>
            </w:r>
            <w:r>
              <w:rPr>
                <w:rFonts w:ascii="宋体" w:hAnsi="宋体" w:eastAsia="宋体" w:cs="宋体"/>
                <w:color w:val="auto"/>
                <w:kern w:val="0"/>
                <w:sz w:val="24"/>
                <w:highlight w:val="none"/>
                <w:lang w:bidi="ar"/>
              </w:rPr>
              <w:t>能提供不少于</w:t>
            </w:r>
            <w:r>
              <w:rPr>
                <w:rFonts w:hint="eastAsia" w:ascii="宋体" w:hAnsi="宋体" w:eastAsia="宋体" w:cs="宋体"/>
                <w:color w:val="auto"/>
                <w:kern w:val="0"/>
                <w:sz w:val="24"/>
                <w:highlight w:val="none"/>
                <w:lang w:bidi="ar"/>
              </w:rPr>
              <w:t>10</w:t>
            </w:r>
            <w:r>
              <w:rPr>
                <w:rFonts w:ascii="宋体" w:hAnsi="宋体" w:eastAsia="宋体" w:cs="宋体"/>
                <w:color w:val="auto"/>
                <w:kern w:val="0"/>
                <w:sz w:val="24"/>
                <w:highlight w:val="none"/>
                <w:lang w:bidi="ar"/>
              </w:rPr>
              <w:t>个小流域提取样例</w:t>
            </w:r>
            <w:r>
              <w:rPr>
                <w:rFonts w:hint="eastAsia" w:ascii="宋体" w:hAnsi="宋体" w:eastAsia="宋体" w:cs="宋体"/>
                <w:bCs/>
                <w:color w:val="auto"/>
                <w:kern w:val="21"/>
                <w:sz w:val="24"/>
                <w:highlight w:val="none"/>
              </w:rPr>
              <w:t>的得</w:t>
            </w:r>
            <w:r>
              <w:rPr>
                <w:rFonts w:hint="eastAsia" w:ascii="宋体" w:hAnsi="宋体" w:cs="宋体"/>
                <w:bCs/>
                <w:color w:val="auto"/>
                <w:kern w:val="21"/>
                <w:sz w:val="24"/>
                <w:highlight w:val="none"/>
              </w:rPr>
              <w:t>2</w:t>
            </w:r>
            <w:r>
              <w:rPr>
                <w:rFonts w:hint="eastAsia" w:ascii="宋体" w:hAnsi="宋体" w:eastAsia="宋体" w:cs="宋体"/>
                <w:bCs/>
                <w:color w:val="auto"/>
                <w:kern w:val="21"/>
                <w:sz w:val="24"/>
                <w:highlight w:val="none"/>
              </w:rPr>
              <w:t>分；</w:t>
            </w:r>
          </w:p>
          <w:p>
            <w:pPr>
              <w:spacing w:line="500" w:lineRule="exact"/>
              <w:rPr>
                <w:rFonts w:hint="eastAsia" w:ascii="宋体" w:hAnsi="宋体" w:eastAsia="宋体" w:cs="宋体"/>
                <w:color w:val="auto"/>
                <w:kern w:val="0"/>
                <w:sz w:val="24"/>
                <w:highlight w:val="none"/>
                <w:lang w:val="en-US" w:eastAsia="zh-CN" w:bidi="ar"/>
              </w:rPr>
            </w:pPr>
            <w:r>
              <w:rPr>
                <w:rFonts w:hint="eastAsia" w:ascii="宋体" w:hAnsi="宋体" w:eastAsia="宋体" w:cs="宋体"/>
                <w:bCs/>
                <w:color w:val="auto"/>
                <w:sz w:val="24"/>
                <w:highlight w:val="none"/>
              </w:rPr>
              <w:t>④未提供或内容与要点不相符或内容不适用于本项目的不得分</w:t>
            </w:r>
            <w:r>
              <w:rPr>
                <w:rFonts w:ascii="宋体" w:hAnsi="宋体" w:eastAsia="宋体" w:cs="宋体"/>
                <w:color w:val="auto"/>
                <w:kern w:val="0"/>
                <w:sz w:val="24"/>
                <w:highlight w:val="none"/>
                <w:lang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00" w:type="pct"/>
            <w:shd w:val="clear" w:color="auto" w:fill="auto"/>
            <w:vAlign w:val="center"/>
          </w:tcPr>
          <w:p>
            <w:pPr>
              <w:spacing w:line="50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4</w:t>
            </w:r>
            <w:r>
              <w:rPr>
                <w:rFonts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bidi="ar"/>
              </w:rPr>
              <w:t>数据入库方案</w:t>
            </w:r>
          </w:p>
        </w:tc>
        <w:tc>
          <w:tcPr>
            <w:tcW w:w="387"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3</w:t>
            </w:r>
          </w:p>
        </w:tc>
        <w:tc>
          <w:tcPr>
            <w:tcW w:w="535"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否</w:t>
            </w:r>
          </w:p>
        </w:tc>
        <w:tc>
          <w:tcPr>
            <w:tcW w:w="3277" w:type="pct"/>
            <w:shd w:val="clear" w:color="auto" w:fill="auto"/>
            <w:vAlign w:val="center"/>
          </w:tcPr>
          <w:p>
            <w:pPr>
              <w:spacing w:line="500" w:lineRule="exact"/>
              <w:rPr>
                <w:rFonts w:ascii="宋体" w:hAnsi="宋体" w:eastAsia="宋体" w:cs="宋体"/>
                <w:color w:val="auto"/>
                <w:kern w:val="0"/>
                <w:sz w:val="24"/>
                <w:highlight w:val="none"/>
                <w:lang w:bidi="ar"/>
              </w:rPr>
            </w:pPr>
            <w:r>
              <w:rPr>
                <w:rFonts w:ascii="宋体" w:hAnsi="宋体" w:eastAsia="宋体" w:cs="宋体"/>
                <w:color w:val="auto"/>
                <w:kern w:val="0"/>
                <w:sz w:val="24"/>
                <w:highlight w:val="none"/>
                <w:lang w:bidi="ar"/>
              </w:rPr>
              <w:t>根据投标人针对本项目提供的</w:t>
            </w:r>
            <w:r>
              <w:rPr>
                <w:rFonts w:hint="eastAsia" w:ascii="宋体" w:hAnsi="宋体" w:eastAsia="宋体" w:cs="宋体"/>
                <w:color w:val="auto"/>
                <w:kern w:val="0"/>
                <w:sz w:val="24"/>
                <w:highlight w:val="none"/>
                <w:lang w:bidi="ar"/>
              </w:rPr>
              <w:t>数据入库方案</w:t>
            </w:r>
            <w:r>
              <w:rPr>
                <w:rFonts w:ascii="宋体" w:hAnsi="宋体" w:eastAsia="宋体" w:cs="宋体"/>
                <w:color w:val="auto"/>
                <w:kern w:val="0"/>
                <w:sz w:val="24"/>
                <w:highlight w:val="none"/>
                <w:lang w:bidi="ar"/>
              </w:rPr>
              <w:t>（包括但不限于</w:t>
            </w:r>
            <w:r>
              <w:rPr>
                <w:rFonts w:hint="eastAsia" w:ascii="宋体" w:hAnsi="宋体" w:eastAsia="宋体" w:cs="宋体"/>
                <w:color w:val="auto"/>
                <w:kern w:val="0"/>
                <w:sz w:val="24"/>
                <w:highlight w:val="none"/>
                <w:lang w:bidi="ar"/>
              </w:rPr>
              <w:t>数据建设内容、防汛系统对接方案</w:t>
            </w:r>
            <w:r>
              <w:rPr>
                <w:rFonts w:ascii="宋体" w:hAnsi="宋体" w:eastAsia="宋体" w:cs="宋体"/>
                <w:color w:val="auto"/>
                <w:kern w:val="0"/>
                <w:sz w:val="24"/>
                <w:highlight w:val="none"/>
                <w:lang w:bidi="ar"/>
              </w:rPr>
              <w:t>等）</w:t>
            </w:r>
            <w:r>
              <w:rPr>
                <w:rFonts w:hint="eastAsia" w:ascii="宋体" w:hAnsi="宋体" w:eastAsia="宋体" w:cs="宋体"/>
                <w:color w:val="auto"/>
                <w:kern w:val="0"/>
                <w:sz w:val="24"/>
                <w:highlight w:val="none"/>
                <w:lang w:bidi="ar"/>
              </w:rPr>
              <w:t>，</w:t>
            </w:r>
            <w:r>
              <w:rPr>
                <w:rFonts w:ascii="宋体" w:hAnsi="宋体" w:eastAsia="宋体" w:cs="宋体"/>
                <w:color w:val="auto"/>
                <w:kern w:val="0"/>
                <w:sz w:val="24"/>
                <w:highlight w:val="none"/>
                <w:lang w:bidi="ar"/>
              </w:rPr>
              <w:t>由评标委员会进行评分：</w:t>
            </w:r>
          </w:p>
          <w:p>
            <w:pPr>
              <w:spacing w:line="500" w:lineRule="exact"/>
              <w:rPr>
                <w:rFonts w:ascii="宋体" w:hAnsi="宋体" w:eastAsia="宋体" w:cs="宋体"/>
                <w:color w:val="auto"/>
                <w:kern w:val="0"/>
                <w:sz w:val="24"/>
                <w:highlight w:val="none"/>
                <w:lang w:bidi="ar"/>
              </w:rPr>
            </w:pPr>
            <w:r>
              <w:rPr>
                <w:rFonts w:hint="eastAsia" w:ascii="宋体" w:hAnsi="宋体" w:eastAsia="宋体" w:cs="宋体"/>
                <w:bCs/>
                <w:color w:val="auto"/>
                <w:kern w:val="21"/>
                <w:sz w:val="24"/>
                <w:highlight w:val="none"/>
              </w:rPr>
              <w:t>①</w:t>
            </w:r>
            <w:r>
              <w:rPr>
                <w:rFonts w:hint="eastAsia" w:ascii="宋体" w:hAnsi="宋体" w:cs="宋体"/>
                <w:bCs/>
                <w:color w:val="auto"/>
                <w:kern w:val="21"/>
                <w:sz w:val="24"/>
                <w:highlight w:val="none"/>
              </w:rPr>
              <w:t>方案</w:t>
            </w:r>
            <w:r>
              <w:rPr>
                <w:rFonts w:hint="eastAsia" w:ascii="宋体" w:hAnsi="宋体" w:eastAsia="宋体" w:cs="宋体"/>
                <w:bCs/>
                <w:color w:val="auto"/>
                <w:kern w:val="21"/>
                <w:sz w:val="24"/>
                <w:highlight w:val="none"/>
              </w:rPr>
              <w:t>所包含的要点齐全无缺漏项、内容与要点相符、</w:t>
            </w:r>
            <w:r>
              <w:rPr>
                <w:rFonts w:hint="eastAsia" w:ascii="宋体" w:hAnsi="宋体" w:eastAsia="宋体" w:cs="宋体"/>
                <w:bCs/>
                <w:color w:val="auto"/>
                <w:sz w:val="24"/>
                <w:highlight w:val="none"/>
              </w:rPr>
              <w:t>每个要点均有展开详细的阐述且能够适用于本项目得3分</w:t>
            </w:r>
            <w:r>
              <w:rPr>
                <w:rFonts w:hint="eastAsia" w:ascii="宋体" w:hAnsi="宋体" w:eastAsia="宋体" w:cs="宋体"/>
                <w:bCs/>
                <w:color w:val="auto"/>
                <w:kern w:val="21"/>
                <w:sz w:val="24"/>
                <w:highlight w:val="none"/>
              </w:rPr>
              <w:t>；</w:t>
            </w:r>
            <w:r>
              <w:rPr>
                <w:rFonts w:hint="eastAsia" w:ascii="宋体" w:hAnsi="宋体" w:eastAsia="宋体" w:cs="宋体"/>
                <w:bCs/>
                <w:color w:val="auto"/>
                <w:sz w:val="24"/>
                <w:highlight w:val="none"/>
              </w:rPr>
              <w:t>②</w:t>
            </w:r>
            <w:r>
              <w:rPr>
                <w:rFonts w:hint="eastAsia" w:ascii="宋体" w:hAnsi="宋体" w:cs="宋体"/>
                <w:bCs/>
                <w:color w:val="auto"/>
                <w:kern w:val="21"/>
                <w:sz w:val="24"/>
                <w:highlight w:val="none"/>
              </w:rPr>
              <w:t>方案</w:t>
            </w:r>
            <w:r>
              <w:rPr>
                <w:rFonts w:hint="eastAsia" w:ascii="宋体" w:hAnsi="宋体" w:eastAsia="宋体" w:cs="宋体"/>
                <w:bCs/>
                <w:color w:val="auto"/>
                <w:kern w:val="21"/>
                <w:sz w:val="24"/>
                <w:highlight w:val="none"/>
              </w:rPr>
              <w:t>所包含的要点齐全</w:t>
            </w:r>
            <w:r>
              <w:rPr>
                <w:rFonts w:hint="eastAsia" w:ascii="宋体" w:hAnsi="宋体" w:eastAsia="宋体" w:cs="宋体"/>
                <w:bCs/>
                <w:color w:val="auto"/>
                <w:sz w:val="24"/>
                <w:highlight w:val="none"/>
              </w:rPr>
              <w:t>、内容与要点相符、每个要点均有展开阐述且基本能够适用于本项目的得2.5分；</w:t>
            </w:r>
          </w:p>
          <w:p>
            <w:pPr>
              <w:spacing w:line="500" w:lineRule="exact"/>
              <w:rPr>
                <w:rFonts w:ascii="宋体" w:hAnsi="宋体" w:eastAsia="宋体" w:cs="宋体"/>
                <w:color w:val="auto"/>
                <w:kern w:val="0"/>
                <w:sz w:val="24"/>
                <w:highlight w:val="none"/>
                <w:lang w:bidi="ar"/>
              </w:rPr>
            </w:pPr>
            <w:r>
              <w:rPr>
                <w:rFonts w:hint="eastAsia" w:ascii="宋体" w:hAnsi="宋体" w:eastAsia="宋体" w:cs="宋体"/>
                <w:bCs/>
                <w:color w:val="auto"/>
                <w:sz w:val="24"/>
                <w:highlight w:val="none"/>
              </w:rPr>
              <w:t>③</w:t>
            </w:r>
            <w:r>
              <w:rPr>
                <w:rFonts w:hint="eastAsia" w:ascii="宋体" w:hAnsi="宋体" w:cs="宋体"/>
                <w:bCs/>
                <w:color w:val="auto"/>
                <w:kern w:val="21"/>
                <w:sz w:val="24"/>
                <w:highlight w:val="none"/>
              </w:rPr>
              <w:t>方案</w:t>
            </w:r>
            <w:r>
              <w:rPr>
                <w:rFonts w:hint="eastAsia" w:ascii="宋体" w:hAnsi="宋体" w:eastAsia="宋体" w:cs="宋体"/>
                <w:bCs/>
                <w:color w:val="auto"/>
                <w:kern w:val="21"/>
                <w:sz w:val="24"/>
                <w:highlight w:val="none"/>
              </w:rPr>
              <w:t>所包含的要点</w:t>
            </w:r>
            <w:r>
              <w:rPr>
                <w:rFonts w:hint="eastAsia" w:ascii="宋体" w:hAnsi="宋体" w:eastAsia="宋体" w:cs="宋体"/>
                <w:bCs/>
                <w:color w:val="auto"/>
                <w:sz w:val="24"/>
                <w:highlight w:val="none"/>
              </w:rPr>
              <w:t>有缺漏、内容与要点相符、</w:t>
            </w:r>
            <w:r>
              <w:rPr>
                <w:rFonts w:hint="eastAsia" w:ascii="宋体" w:hAnsi="宋体" w:eastAsia="宋体" w:cs="宋体"/>
                <w:bCs/>
                <w:color w:val="auto"/>
                <w:kern w:val="21"/>
                <w:sz w:val="24"/>
                <w:highlight w:val="none"/>
              </w:rPr>
              <w:t>但仅有纲要内容简略的得</w:t>
            </w:r>
            <w:r>
              <w:rPr>
                <w:rFonts w:hint="eastAsia" w:ascii="宋体" w:hAnsi="宋体" w:cs="宋体"/>
                <w:bCs/>
                <w:color w:val="auto"/>
                <w:kern w:val="21"/>
                <w:sz w:val="24"/>
                <w:highlight w:val="none"/>
              </w:rPr>
              <w:t>2</w:t>
            </w:r>
            <w:r>
              <w:rPr>
                <w:rFonts w:hint="eastAsia" w:ascii="宋体" w:hAnsi="宋体" w:eastAsia="宋体" w:cs="宋体"/>
                <w:bCs/>
                <w:color w:val="auto"/>
                <w:kern w:val="21"/>
                <w:sz w:val="24"/>
                <w:highlight w:val="none"/>
              </w:rPr>
              <w:t>分</w:t>
            </w:r>
            <w:r>
              <w:rPr>
                <w:rFonts w:hint="eastAsia" w:ascii="宋体" w:hAnsi="宋体" w:cs="宋体"/>
                <w:bCs/>
                <w:color w:val="auto"/>
                <w:kern w:val="21"/>
                <w:sz w:val="24"/>
                <w:highlight w:val="none"/>
              </w:rPr>
              <w:t>；</w:t>
            </w:r>
          </w:p>
          <w:p>
            <w:pPr>
              <w:spacing w:line="500" w:lineRule="exact"/>
              <w:rPr>
                <w:rFonts w:hint="eastAsia" w:ascii="宋体" w:hAnsi="宋体" w:eastAsia="宋体" w:cs="宋体"/>
                <w:color w:val="auto"/>
                <w:kern w:val="0"/>
                <w:sz w:val="24"/>
                <w:highlight w:val="none"/>
                <w:lang w:val="en-US" w:eastAsia="zh-CN" w:bidi="ar"/>
              </w:rPr>
            </w:pPr>
            <w:r>
              <w:rPr>
                <w:rFonts w:hint="eastAsia" w:ascii="宋体" w:hAnsi="宋体" w:eastAsia="宋体" w:cs="宋体"/>
                <w:bCs/>
                <w:color w:val="auto"/>
                <w:sz w:val="24"/>
                <w:highlight w:val="none"/>
              </w:rPr>
              <w:t>④未提供或内容与要点不相符或内容不适用于本项目的不得分</w:t>
            </w:r>
            <w:r>
              <w:rPr>
                <w:rFonts w:ascii="宋体" w:hAnsi="宋体" w:eastAsia="宋体" w:cs="宋体"/>
                <w:color w:val="auto"/>
                <w:kern w:val="0"/>
                <w:sz w:val="24"/>
                <w:highlight w:val="none"/>
                <w:lang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00" w:type="pct"/>
            <w:shd w:val="clear" w:color="auto" w:fill="auto"/>
            <w:vAlign w:val="center"/>
          </w:tcPr>
          <w:p>
            <w:pPr>
              <w:spacing w:line="500" w:lineRule="exact"/>
              <w:jc w:val="center"/>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测绘</w:t>
            </w:r>
            <w:r>
              <w:rPr>
                <w:rFonts w:hint="eastAsia" w:ascii="宋体" w:hAnsi="宋体" w:eastAsia="宋体" w:cs="宋体"/>
                <w:color w:val="auto"/>
                <w:kern w:val="0"/>
                <w:sz w:val="24"/>
                <w:highlight w:val="none"/>
                <w:lang w:bidi="ar"/>
              </w:rPr>
              <w:t>负责人</w:t>
            </w:r>
          </w:p>
        </w:tc>
        <w:tc>
          <w:tcPr>
            <w:tcW w:w="387" w:type="pct"/>
            <w:shd w:val="clear" w:color="auto" w:fill="auto"/>
            <w:vAlign w:val="center"/>
          </w:tcPr>
          <w:p>
            <w:pPr>
              <w:spacing w:line="500" w:lineRule="exact"/>
              <w:jc w:val="center"/>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color w:val="auto"/>
                <w:kern w:val="0"/>
                <w:sz w:val="24"/>
                <w:highlight w:val="none"/>
                <w:lang w:val="en-US" w:eastAsia="zh-CN" w:bidi="ar"/>
              </w:rPr>
              <w:t>3</w:t>
            </w:r>
          </w:p>
        </w:tc>
        <w:tc>
          <w:tcPr>
            <w:tcW w:w="535" w:type="pct"/>
            <w:shd w:val="clear" w:color="auto" w:fill="auto"/>
            <w:vAlign w:val="center"/>
          </w:tcPr>
          <w:p>
            <w:pPr>
              <w:spacing w:line="500" w:lineRule="exact"/>
              <w:jc w:val="center"/>
              <w:rPr>
                <w:rFonts w:hint="default"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rPr>
                <w:rFonts w:ascii="宋体" w:hAnsi="宋体" w:eastAsia="宋体" w:cs="宋体"/>
                <w:color w:val="auto"/>
                <w:kern w:val="0"/>
                <w:sz w:val="24"/>
                <w:highlight w:val="none"/>
                <w:lang w:bidi="ar"/>
              </w:rPr>
            </w:pPr>
            <w:r>
              <w:rPr>
                <w:rFonts w:ascii="宋体" w:hAnsi="宋体" w:eastAsia="宋体" w:cs="宋体"/>
                <w:color w:val="auto"/>
                <w:kern w:val="0"/>
                <w:sz w:val="24"/>
                <w:highlight w:val="none"/>
                <w:lang w:bidi="ar"/>
              </w:rPr>
              <w:t>根据</w:t>
            </w:r>
            <w:r>
              <w:rPr>
                <w:rFonts w:ascii="宋体" w:hAnsi="宋体" w:eastAsia="宋体" w:cs="宋体"/>
                <w:color w:val="auto"/>
                <w:kern w:val="0"/>
                <w:sz w:val="24"/>
                <w:highlight w:val="none"/>
                <w:lang w:eastAsia="zh-Hans" w:bidi="ar"/>
              </w:rPr>
              <w:t>投标人拟投入本项目的</w:t>
            </w:r>
            <w:r>
              <w:rPr>
                <w:rFonts w:hint="eastAsia" w:ascii="宋体" w:hAnsi="宋体" w:eastAsia="宋体" w:cs="宋体"/>
                <w:color w:val="auto"/>
                <w:kern w:val="0"/>
                <w:sz w:val="24"/>
                <w:highlight w:val="none"/>
                <w:lang w:val="en-US" w:eastAsia="zh-CN" w:bidi="ar"/>
              </w:rPr>
              <w:t>测绘</w:t>
            </w:r>
            <w:r>
              <w:rPr>
                <w:rFonts w:hint="eastAsia" w:ascii="宋体" w:hAnsi="宋体" w:eastAsia="宋体" w:cs="宋体"/>
                <w:color w:val="auto"/>
                <w:kern w:val="0"/>
                <w:sz w:val="24"/>
                <w:highlight w:val="none"/>
                <w:lang w:bidi="ar"/>
              </w:rPr>
              <w:t>负责人，</w:t>
            </w:r>
            <w:r>
              <w:rPr>
                <w:rFonts w:ascii="宋体" w:hAnsi="宋体" w:eastAsia="宋体" w:cs="宋体"/>
                <w:color w:val="auto"/>
                <w:kern w:val="0"/>
                <w:sz w:val="24"/>
                <w:highlight w:val="none"/>
                <w:lang w:bidi="ar"/>
              </w:rPr>
              <w:t>由评标委员会进行评分：</w:t>
            </w:r>
          </w:p>
          <w:p>
            <w:pPr>
              <w:spacing w:line="500" w:lineRule="exact"/>
              <w:rPr>
                <w:rFonts w:ascii="宋体" w:hAnsi="宋体" w:eastAsia="宋体" w:cs="宋体"/>
                <w:bCs/>
                <w:color w:val="auto"/>
                <w:sz w:val="24"/>
                <w:highlight w:val="none"/>
              </w:rPr>
            </w:pPr>
            <w:r>
              <w:rPr>
                <w:rFonts w:hint="eastAsia" w:ascii="宋体" w:hAnsi="宋体" w:eastAsia="宋体" w:cs="宋体"/>
                <w:bCs/>
                <w:color w:val="auto"/>
                <w:kern w:val="21"/>
                <w:sz w:val="24"/>
                <w:highlight w:val="none"/>
              </w:rPr>
              <w:t>①</w:t>
            </w:r>
            <w:r>
              <w:rPr>
                <w:rFonts w:ascii="宋体" w:hAnsi="宋体" w:eastAsia="宋体" w:cs="宋体"/>
                <w:color w:val="auto"/>
                <w:kern w:val="0"/>
                <w:sz w:val="24"/>
                <w:highlight w:val="none"/>
                <w:lang w:eastAsia="zh-Hans" w:bidi="ar"/>
              </w:rPr>
              <w:t>具备</w:t>
            </w:r>
            <w:r>
              <w:rPr>
                <w:rFonts w:hint="eastAsia" w:ascii="宋体" w:hAnsi="宋体" w:eastAsia="宋体" w:cs="宋体"/>
                <w:bCs/>
                <w:color w:val="auto"/>
                <w:kern w:val="21"/>
                <w:sz w:val="24"/>
                <w:highlight w:val="none"/>
                <w:lang w:val="en-US" w:eastAsia="zh-CN"/>
              </w:rPr>
              <w:t>工程测量专业工程师及以上职称的得1.5分</w:t>
            </w:r>
            <w:r>
              <w:rPr>
                <w:rFonts w:hint="eastAsia" w:ascii="宋体" w:hAnsi="宋体" w:eastAsia="宋体" w:cs="宋体"/>
                <w:bCs/>
                <w:color w:val="auto"/>
                <w:sz w:val="24"/>
                <w:highlight w:val="none"/>
              </w:rPr>
              <w:t>；</w:t>
            </w:r>
          </w:p>
          <w:p>
            <w:pPr>
              <w:spacing w:line="50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②</w:t>
            </w:r>
            <w:r>
              <w:rPr>
                <w:rFonts w:ascii="宋体" w:hAnsi="宋体" w:eastAsia="宋体" w:cs="宋体"/>
                <w:color w:val="auto"/>
                <w:kern w:val="0"/>
                <w:sz w:val="24"/>
                <w:highlight w:val="none"/>
                <w:lang w:eastAsia="zh-Hans" w:bidi="ar"/>
              </w:rPr>
              <w:t>具备</w:t>
            </w:r>
            <w:r>
              <w:rPr>
                <w:rFonts w:hint="eastAsia" w:ascii="宋体" w:hAnsi="宋体" w:eastAsia="宋体" w:cs="宋体"/>
                <w:color w:val="auto"/>
                <w:kern w:val="0"/>
                <w:sz w:val="24"/>
                <w:highlight w:val="none"/>
                <w:lang w:eastAsia="zh-Hans" w:bidi="ar"/>
              </w:rPr>
              <w:t>水利水电</w:t>
            </w:r>
            <w:r>
              <w:rPr>
                <w:rFonts w:hint="eastAsia" w:ascii="宋体" w:hAnsi="宋体" w:eastAsia="宋体" w:cs="宋体"/>
                <w:color w:val="auto"/>
                <w:kern w:val="0"/>
                <w:sz w:val="24"/>
                <w:highlight w:val="none"/>
                <w:lang w:eastAsia="zh-CN" w:bidi="ar"/>
              </w:rPr>
              <w:t>相关</w:t>
            </w:r>
            <w:r>
              <w:rPr>
                <w:rFonts w:hint="eastAsia" w:ascii="宋体" w:hAnsi="宋体" w:eastAsia="宋体" w:cs="宋体"/>
                <w:bCs/>
                <w:color w:val="auto"/>
                <w:kern w:val="21"/>
                <w:sz w:val="24"/>
                <w:highlight w:val="none"/>
                <w:lang w:val="en-US" w:eastAsia="zh-CN"/>
              </w:rPr>
              <w:t>专业工程师及以上职称的得1.5分</w:t>
            </w:r>
            <w:r>
              <w:rPr>
                <w:rFonts w:hint="eastAsia" w:ascii="宋体" w:hAnsi="宋体" w:eastAsia="宋体" w:cs="宋体"/>
                <w:bCs/>
                <w:color w:val="auto"/>
                <w:sz w:val="24"/>
                <w:highlight w:val="none"/>
              </w:rPr>
              <w:t>；</w:t>
            </w:r>
          </w:p>
          <w:p>
            <w:pPr>
              <w:spacing w:line="500" w:lineRule="exact"/>
              <w:rPr>
                <w:rFonts w:hint="default" w:ascii="宋体" w:hAnsi="宋体" w:eastAsia="宋体" w:cs="宋体"/>
                <w:bCs/>
                <w:color w:val="auto"/>
                <w:kern w:val="2"/>
                <w:sz w:val="24"/>
                <w:szCs w:val="24"/>
                <w:highlight w:val="none"/>
                <w:lang w:val="en-US" w:eastAsia="zh-CN" w:bidi="ar-SA"/>
              </w:rPr>
            </w:pPr>
            <w:r>
              <w:rPr>
                <w:rFonts w:ascii="宋体" w:hAnsi="宋体" w:eastAsia="宋体" w:cs="宋体"/>
                <w:b/>
                <w:bCs/>
                <w:color w:val="auto"/>
                <w:kern w:val="0"/>
                <w:sz w:val="24"/>
                <w:highlight w:val="none"/>
                <w:lang w:bidi="ar"/>
              </w:rPr>
              <w:t>注：</w:t>
            </w:r>
            <w:r>
              <w:rPr>
                <w:rFonts w:hint="eastAsia" w:ascii="宋体" w:hAnsi="宋体" w:eastAsia="宋体" w:cs="宋体"/>
                <w:b/>
                <w:bCs/>
                <w:color w:val="auto"/>
                <w:kern w:val="0"/>
                <w:sz w:val="24"/>
                <w:highlight w:val="none"/>
                <w:lang w:bidi="ar"/>
              </w:rPr>
              <w:t>须提供有效的证书复印件、</w:t>
            </w:r>
            <w:r>
              <w:rPr>
                <w:rFonts w:ascii="宋体" w:hAnsi="宋体" w:eastAsia="宋体" w:cs="宋体"/>
                <w:b/>
                <w:bCs/>
                <w:color w:val="auto"/>
                <w:kern w:val="0"/>
                <w:sz w:val="24"/>
                <w:highlight w:val="none"/>
                <w:lang w:bidi="ar"/>
              </w:rPr>
              <w:t>投标截止时间前（不含投标截止时间当月）六个月中任意一个月投标人为其缴纳社保的证明材料</w:t>
            </w:r>
            <w:r>
              <w:rPr>
                <w:rFonts w:hint="eastAsia" w:ascii="宋体" w:hAnsi="宋体" w:eastAsia="宋体" w:cs="宋体"/>
                <w:b/>
                <w:bCs/>
                <w:color w:val="auto"/>
                <w:kern w:val="0"/>
                <w:sz w:val="24"/>
                <w:highlight w:val="none"/>
                <w:lang w:bidi="ar"/>
              </w:rPr>
              <w:t>，否则不得分</w:t>
            </w:r>
            <w:r>
              <w:rPr>
                <w:rFonts w:ascii="宋体" w:hAnsi="宋体" w:eastAsia="宋体" w:cs="宋体"/>
                <w:b/>
                <w:bCs/>
                <w:color w:val="auto"/>
                <w:kern w:val="0"/>
                <w:sz w:val="24"/>
                <w:highlight w:val="none"/>
                <w:lang w:bidi="ar"/>
              </w:rPr>
              <w:t>。</w:t>
            </w:r>
            <w:r>
              <w:rPr>
                <w:rFonts w:hint="eastAsia" w:ascii="宋体" w:hAnsi="宋体" w:eastAsia="宋体" w:cs="宋体"/>
                <w:b/>
                <w:bCs/>
                <w:color w:val="auto"/>
                <w:kern w:val="0"/>
                <w:sz w:val="24"/>
                <w:highlight w:val="none"/>
                <w:lang w:bidi="ar"/>
              </w:rPr>
              <w:t>测绘负责人</w:t>
            </w:r>
            <w:r>
              <w:rPr>
                <w:rFonts w:hint="eastAsia" w:ascii="宋体" w:hAnsi="宋体" w:eastAsia="宋体" w:cs="宋体"/>
                <w:b/>
                <w:bCs/>
                <w:color w:val="auto"/>
                <w:kern w:val="0"/>
                <w:sz w:val="24"/>
                <w:highlight w:val="none"/>
                <w:lang w:eastAsia="zh-CN" w:bidi="ar"/>
              </w:rPr>
              <w:t>、</w:t>
            </w:r>
            <w:r>
              <w:rPr>
                <w:rFonts w:hint="eastAsia" w:ascii="宋体" w:hAnsi="宋体" w:eastAsia="宋体" w:cs="宋体"/>
                <w:b/>
                <w:bCs/>
                <w:color w:val="auto"/>
                <w:kern w:val="0"/>
                <w:sz w:val="24"/>
                <w:highlight w:val="none"/>
                <w:lang w:val="en-US" w:eastAsia="zh-CN" w:bidi="ar"/>
              </w:rPr>
              <w:t>设计</w:t>
            </w:r>
            <w:r>
              <w:rPr>
                <w:rFonts w:hint="eastAsia" w:ascii="宋体" w:hAnsi="宋体" w:eastAsia="宋体" w:cs="宋体"/>
                <w:b/>
                <w:bCs/>
                <w:color w:val="auto"/>
                <w:kern w:val="0"/>
                <w:sz w:val="24"/>
                <w:highlight w:val="none"/>
                <w:lang w:bidi="ar"/>
              </w:rPr>
              <w:t>负责人、</w:t>
            </w:r>
            <w:r>
              <w:rPr>
                <w:rFonts w:hint="eastAsia" w:ascii="宋体" w:hAnsi="宋体" w:eastAsia="宋体" w:cs="宋体"/>
                <w:b/>
                <w:bCs/>
                <w:color w:val="auto"/>
                <w:kern w:val="0"/>
                <w:sz w:val="24"/>
                <w:highlight w:val="none"/>
                <w:lang w:val="en-US" w:eastAsia="zh-CN" w:bidi="ar"/>
              </w:rPr>
              <w:t>信息化</w:t>
            </w:r>
            <w:r>
              <w:rPr>
                <w:rFonts w:hint="eastAsia" w:ascii="宋体" w:hAnsi="宋体" w:eastAsia="宋体" w:cs="宋体"/>
                <w:b/>
                <w:bCs/>
                <w:color w:val="auto"/>
                <w:kern w:val="0"/>
                <w:sz w:val="24"/>
                <w:highlight w:val="none"/>
                <w:lang w:bidi="ar"/>
              </w:rPr>
              <w:t>负责人不可兼任。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00"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Hans" w:bidi="ar"/>
              </w:rPr>
            </w:pPr>
            <w:r>
              <w:rPr>
                <w:rFonts w:hint="eastAsia" w:ascii="宋体" w:hAnsi="宋体" w:eastAsia="宋体" w:cs="宋体"/>
                <w:color w:val="auto"/>
                <w:kern w:val="0"/>
                <w:sz w:val="24"/>
                <w:highlight w:val="none"/>
                <w:lang w:val="en-US" w:eastAsia="zh-CN" w:bidi="ar"/>
              </w:rPr>
              <w:t>6</w:t>
            </w:r>
            <w:r>
              <w:rPr>
                <w:rFonts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设计</w:t>
            </w:r>
            <w:r>
              <w:rPr>
                <w:rFonts w:ascii="宋体" w:hAnsi="宋体" w:eastAsia="宋体" w:cs="宋体"/>
                <w:color w:val="auto"/>
                <w:kern w:val="0"/>
                <w:sz w:val="24"/>
                <w:highlight w:val="none"/>
                <w:lang w:bidi="ar"/>
              </w:rPr>
              <w:t>负责人</w:t>
            </w:r>
          </w:p>
        </w:tc>
        <w:tc>
          <w:tcPr>
            <w:tcW w:w="387"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3</w:t>
            </w:r>
          </w:p>
        </w:tc>
        <w:tc>
          <w:tcPr>
            <w:tcW w:w="535"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rPr>
                <w:rFonts w:ascii="宋体" w:hAnsi="宋体" w:eastAsia="宋体" w:cs="宋体"/>
                <w:color w:val="auto"/>
                <w:kern w:val="0"/>
                <w:sz w:val="24"/>
                <w:highlight w:val="none"/>
                <w:lang w:bidi="ar"/>
              </w:rPr>
            </w:pPr>
            <w:r>
              <w:rPr>
                <w:rFonts w:ascii="宋体" w:hAnsi="宋体" w:eastAsia="宋体" w:cs="宋体"/>
                <w:color w:val="auto"/>
                <w:kern w:val="0"/>
                <w:sz w:val="24"/>
                <w:highlight w:val="none"/>
                <w:lang w:bidi="ar"/>
              </w:rPr>
              <w:t>根据</w:t>
            </w:r>
            <w:r>
              <w:rPr>
                <w:rFonts w:ascii="宋体" w:hAnsi="宋体" w:eastAsia="宋体" w:cs="宋体"/>
                <w:color w:val="auto"/>
                <w:kern w:val="0"/>
                <w:sz w:val="24"/>
                <w:highlight w:val="none"/>
                <w:lang w:eastAsia="zh-Hans" w:bidi="ar"/>
              </w:rPr>
              <w:t>投标人拟投入本项目的</w:t>
            </w:r>
            <w:r>
              <w:rPr>
                <w:rFonts w:hint="eastAsia" w:ascii="宋体" w:hAnsi="宋体" w:eastAsia="宋体" w:cs="宋体"/>
                <w:color w:val="auto"/>
                <w:kern w:val="0"/>
                <w:sz w:val="24"/>
                <w:highlight w:val="none"/>
                <w:lang w:val="en-US" w:eastAsia="zh-CN" w:bidi="ar"/>
              </w:rPr>
              <w:t>设计</w:t>
            </w:r>
            <w:r>
              <w:rPr>
                <w:rFonts w:ascii="宋体" w:hAnsi="宋体" w:eastAsia="宋体" w:cs="宋体"/>
                <w:color w:val="auto"/>
                <w:kern w:val="0"/>
                <w:sz w:val="24"/>
                <w:highlight w:val="none"/>
                <w:lang w:bidi="ar"/>
              </w:rPr>
              <w:t>负责人</w:t>
            </w:r>
            <w:r>
              <w:rPr>
                <w:rFonts w:hint="eastAsia" w:ascii="宋体" w:hAnsi="宋体" w:eastAsia="宋体" w:cs="宋体"/>
                <w:color w:val="auto"/>
                <w:kern w:val="0"/>
                <w:sz w:val="24"/>
                <w:highlight w:val="none"/>
                <w:lang w:bidi="ar"/>
              </w:rPr>
              <w:t>，</w:t>
            </w:r>
            <w:r>
              <w:rPr>
                <w:rFonts w:ascii="宋体" w:hAnsi="宋体" w:eastAsia="宋体" w:cs="宋体"/>
                <w:color w:val="auto"/>
                <w:kern w:val="0"/>
                <w:sz w:val="24"/>
                <w:highlight w:val="none"/>
                <w:lang w:bidi="ar"/>
              </w:rPr>
              <w:t>由评标委员会进行评分：</w:t>
            </w:r>
          </w:p>
          <w:p>
            <w:pPr>
              <w:spacing w:line="500" w:lineRule="exact"/>
              <w:rPr>
                <w:rFonts w:ascii="宋体" w:hAnsi="宋体" w:eastAsia="宋体" w:cs="宋体"/>
                <w:color w:val="auto"/>
                <w:kern w:val="0"/>
                <w:sz w:val="24"/>
                <w:highlight w:val="none"/>
                <w:lang w:bidi="ar"/>
              </w:rPr>
            </w:pPr>
            <w:r>
              <w:rPr>
                <w:rFonts w:ascii="宋体" w:hAnsi="宋体" w:eastAsia="宋体" w:cs="宋体"/>
                <w:color w:val="auto"/>
                <w:kern w:val="0"/>
                <w:sz w:val="24"/>
                <w:highlight w:val="none"/>
                <w:lang w:bidi="ar"/>
              </w:rPr>
              <w:t>具备水利水电</w:t>
            </w:r>
            <w:r>
              <w:rPr>
                <w:rFonts w:hint="eastAsia" w:ascii="宋体" w:hAnsi="宋体" w:eastAsia="宋体" w:cs="宋体"/>
                <w:color w:val="auto"/>
                <w:kern w:val="0"/>
                <w:sz w:val="24"/>
                <w:highlight w:val="none"/>
                <w:lang w:eastAsia="zh-CN" w:bidi="ar"/>
              </w:rPr>
              <w:t>相关</w:t>
            </w:r>
            <w:r>
              <w:rPr>
                <w:rFonts w:ascii="宋体" w:hAnsi="宋体" w:eastAsia="宋体" w:cs="宋体"/>
                <w:color w:val="auto"/>
                <w:kern w:val="0"/>
                <w:sz w:val="24"/>
                <w:highlight w:val="none"/>
                <w:lang w:bidi="ar"/>
              </w:rPr>
              <w:t>专业</w:t>
            </w:r>
            <w:r>
              <w:rPr>
                <w:rFonts w:hint="eastAsia" w:ascii="宋体" w:hAnsi="宋体" w:eastAsia="宋体" w:cs="宋体"/>
                <w:color w:val="auto"/>
                <w:kern w:val="0"/>
                <w:sz w:val="24"/>
                <w:highlight w:val="none"/>
                <w:lang w:eastAsia="zh-CN" w:bidi="ar"/>
              </w:rPr>
              <w:t>正</w:t>
            </w:r>
            <w:r>
              <w:rPr>
                <w:rFonts w:ascii="宋体" w:hAnsi="宋体" w:eastAsia="宋体" w:cs="宋体"/>
                <w:color w:val="auto"/>
                <w:kern w:val="0"/>
                <w:sz w:val="24"/>
                <w:highlight w:val="none"/>
                <w:lang w:bidi="ar"/>
              </w:rPr>
              <w:t>高级工程师职称的得</w:t>
            </w:r>
            <w:r>
              <w:rPr>
                <w:rFonts w:hint="eastAsia" w:ascii="宋体" w:hAnsi="宋体" w:eastAsia="宋体" w:cs="宋体"/>
                <w:color w:val="auto"/>
                <w:kern w:val="0"/>
                <w:sz w:val="24"/>
                <w:highlight w:val="none"/>
                <w:lang w:val="en-US" w:eastAsia="zh-CN" w:bidi="ar"/>
              </w:rPr>
              <w:t>3</w:t>
            </w:r>
            <w:r>
              <w:rPr>
                <w:rFonts w:ascii="宋体" w:hAnsi="宋体" w:eastAsia="宋体" w:cs="宋体"/>
                <w:color w:val="auto"/>
                <w:kern w:val="0"/>
                <w:sz w:val="24"/>
                <w:highlight w:val="none"/>
                <w:lang w:bidi="ar"/>
              </w:rPr>
              <w:t>分</w:t>
            </w:r>
            <w:r>
              <w:rPr>
                <w:rFonts w:hint="eastAsia" w:ascii="宋体" w:hAnsi="宋体" w:eastAsia="宋体" w:cs="宋体"/>
                <w:color w:val="auto"/>
                <w:kern w:val="0"/>
                <w:sz w:val="24"/>
                <w:highlight w:val="none"/>
                <w:lang w:eastAsia="zh-CN" w:bidi="ar"/>
              </w:rPr>
              <w:t>；</w:t>
            </w:r>
            <w:r>
              <w:rPr>
                <w:rFonts w:ascii="宋体" w:hAnsi="宋体" w:eastAsia="宋体" w:cs="宋体"/>
                <w:color w:val="auto"/>
                <w:kern w:val="0"/>
                <w:sz w:val="24"/>
                <w:highlight w:val="none"/>
                <w:lang w:bidi="ar"/>
              </w:rPr>
              <w:t>具备水利水电</w:t>
            </w:r>
            <w:r>
              <w:rPr>
                <w:rFonts w:hint="eastAsia" w:ascii="宋体" w:hAnsi="宋体" w:eastAsia="宋体" w:cs="宋体"/>
                <w:color w:val="auto"/>
                <w:kern w:val="0"/>
                <w:sz w:val="24"/>
                <w:highlight w:val="none"/>
                <w:lang w:eastAsia="zh-CN" w:bidi="ar"/>
              </w:rPr>
              <w:t>相关</w:t>
            </w:r>
            <w:r>
              <w:rPr>
                <w:rFonts w:ascii="宋体" w:hAnsi="宋体" w:eastAsia="宋体" w:cs="宋体"/>
                <w:color w:val="auto"/>
                <w:kern w:val="0"/>
                <w:sz w:val="24"/>
                <w:highlight w:val="none"/>
                <w:lang w:bidi="ar"/>
              </w:rPr>
              <w:t>专业</w:t>
            </w:r>
            <w:r>
              <w:rPr>
                <w:rFonts w:hint="eastAsia" w:ascii="宋体" w:hAnsi="宋体" w:eastAsia="宋体" w:cs="宋体"/>
                <w:color w:val="auto"/>
                <w:kern w:val="0"/>
                <w:sz w:val="24"/>
                <w:highlight w:val="none"/>
                <w:lang w:eastAsia="zh-CN" w:bidi="ar"/>
              </w:rPr>
              <w:t>正</w:t>
            </w:r>
            <w:r>
              <w:rPr>
                <w:rFonts w:ascii="宋体" w:hAnsi="宋体" w:eastAsia="宋体" w:cs="宋体"/>
                <w:color w:val="auto"/>
                <w:kern w:val="0"/>
                <w:sz w:val="24"/>
                <w:highlight w:val="none"/>
                <w:lang w:bidi="ar"/>
              </w:rPr>
              <w:t>高级工程师职称的</w:t>
            </w:r>
            <w:r>
              <w:rPr>
                <w:rFonts w:hint="eastAsia" w:ascii="宋体" w:hAnsi="宋体" w:eastAsia="宋体" w:cs="宋体"/>
                <w:color w:val="auto"/>
                <w:kern w:val="0"/>
                <w:sz w:val="24"/>
                <w:highlight w:val="none"/>
                <w:lang w:bidi="ar"/>
              </w:rPr>
              <w:t>得</w:t>
            </w:r>
            <w:r>
              <w:rPr>
                <w:rFonts w:hint="eastAsia" w:ascii="宋体" w:hAnsi="宋体" w:eastAsia="宋体" w:cs="宋体"/>
                <w:color w:val="auto"/>
                <w:kern w:val="0"/>
                <w:sz w:val="24"/>
                <w:highlight w:val="none"/>
                <w:lang w:val="en-US" w:eastAsia="zh-CN" w:bidi="ar"/>
              </w:rPr>
              <w:t>1.5</w:t>
            </w:r>
            <w:r>
              <w:rPr>
                <w:rFonts w:hint="eastAsia" w:ascii="宋体" w:hAnsi="宋体" w:eastAsia="宋体" w:cs="宋体"/>
                <w:color w:val="auto"/>
                <w:kern w:val="0"/>
                <w:sz w:val="24"/>
                <w:highlight w:val="none"/>
                <w:lang w:bidi="ar"/>
              </w:rPr>
              <w:t>分</w:t>
            </w:r>
            <w:r>
              <w:rPr>
                <w:rFonts w:ascii="宋体" w:hAnsi="宋体" w:eastAsia="宋体" w:cs="宋体"/>
                <w:color w:val="auto"/>
                <w:kern w:val="0"/>
                <w:sz w:val="24"/>
                <w:highlight w:val="none"/>
                <w:lang w:bidi="ar"/>
              </w:rPr>
              <w:t>。</w:t>
            </w:r>
          </w:p>
          <w:p>
            <w:pPr>
              <w:spacing w:line="500" w:lineRule="exact"/>
              <w:rPr>
                <w:rFonts w:hint="default" w:ascii="宋体" w:hAnsi="宋体" w:eastAsia="宋体" w:cs="宋体"/>
                <w:color w:val="auto"/>
                <w:kern w:val="0"/>
                <w:sz w:val="24"/>
                <w:highlight w:val="none"/>
                <w:lang w:val="en-US" w:eastAsia="zh-CN" w:bidi="ar"/>
              </w:rPr>
            </w:pPr>
            <w:r>
              <w:rPr>
                <w:rFonts w:ascii="宋体" w:hAnsi="宋体" w:eastAsia="宋体" w:cs="宋体"/>
                <w:b/>
                <w:bCs/>
                <w:color w:val="auto"/>
                <w:kern w:val="0"/>
                <w:sz w:val="24"/>
                <w:highlight w:val="none"/>
                <w:lang w:bidi="ar"/>
              </w:rPr>
              <w:t>注：</w:t>
            </w:r>
            <w:r>
              <w:rPr>
                <w:rFonts w:hint="eastAsia" w:ascii="宋体" w:hAnsi="宋体" w:eastAsia="宋体" w:cs="宋体"/>
                <w:b/>
                <w:bCs/>
                <w:color w:val="auto"/>
                <w:kern w:val="0"/>
                <w:sz w:val="24"/>
                <w:highlight w:val="none"/>
                <w:lang w:bidi="ar"/>
              </w:rPr>
              <w:t>须提供有效的证书复印件、</w:t>
            </w:r>
            <w:r>
              <w:rPr>
                <w:rFonts w:ascii="宋体" w:hAnsi="宋体" w:eastAsia="宋体" w:cs="宋体"/>
                <w:b/>
                <w:bCs/>
                <w:color w:val="auto"/>
                <w:kern w:val="0"/>
                <w:sz w:val="24"/>
                <w:highlight w:val="none"/>
                <w:lang w:bidi="ar"/>
              </w:rPr>
              <w:t>投标截止时间前（不含投标截止时间当月）六个月中任意一个月投标人为其缴纳社保的证明材料</w:t>
            </w:r>
            <w:r>
              <w:rPr>
                <w:rFonts w:hint="eastAsia" w:ascii="宋体" w:hAnsi="宋体" w:eastAsia="宋体" w:cs="宋体"/>
                <w:b/>
                <w:bCs/>
                <w:color w:val="auto"/>
                <w:kern w:val="0"/>
                <w:sz w:val="24"/>
                <w:highlight w:val="none"/>
                <w:lang w:bidi="ar"/>
              </w:rPr>
              <w:t>，否则不得分</w:t>
            </w:r>
            <w:r>
              <w:rPr>
                <w:rFonts w:ascii="宋体" w:hAnsi="宋体" w:eastAsia="宋体" w:cs="宋体"/>
                <w:b/>
                <w:bCs/>
                <w:color w:val="auto"/>
                <w:kern w:val="0"/>
                <w:sz w:val="24"/>
                <w:highlight w:val="none"/>
                <w:lang w:bidi="ar"/>
              </w:rPr>
              <w:t>。</w:t>
            </w:r>
            <w:r>
              <w:rPr>
                <w:rFonts w:hint="eastAsia" w:ascii="宋体" w:hAnsi="宋体" w:eastAsia="宋体" w:cs="宋体"/>
                <w:b/>
                <w:bCs/>
                <w:color w:val="auto"/>
                <w:kern w:val="0"/>
                <w:sz w:val="24"/>
                <w:highlight w:val="none"/>
                <w:lang w:bidi="ar"/>
              </w:rPr>
              <w:t>测绘负责人</w:t>
            </w:r>
            <w:r>
              <w:rPr>
                <w:rFonts w:hint="eastAsia" w:ascii="宋体" w:hAnsi="宋体" w:eastAsia="宋体" w:cs="宋体"/>
                <w:b/>
                <w:bCs/>
                <w:color w:val="auto"/>
                <w:kern w:val="0"/>
                <w:sz w:val="24"/>
                <w:highlight w:val="none"/>
                <w:lang w:eastAsia="zh-CN" w:bidi="ar"/>
              </w:rPr>
              <w:t>、</w:t>
            </w:r>
            <w:r>
              <w:rPr>
                <w:rFonts w:hint="eastAsia" w:ascii="宋体" w:hAnsi="宋体" w:eastAsia="宋体" w:cs="宋体"/>
                <w:b/>
                <w:bCs/>
                <w:color w:val="auto"/>
                <w:kern w:val="0"/>
                <w:sz w:val="24"/>
                <w:highlight w:val="none"/>
                <w:lang w:val="en-US" w:eastAsia="zh-CN" w:bidi="ar"/>
              </w:rPr>
              <w:t>设计</w:t>
            </w:r>
            <w:r>
              <w:rPr>
                <w:rFonts w:hint="eastAsia" w:ascii="宋体" w:hAnsi="宋体" w:eastAsia="宋体" w:cs="宋体"/>
                <w:b/>
                <w:bCs/>
                <w:color w:val="auto"/>
                <w:kern w:val="0"/>
                <w:sz w:val="24"/>
                <w:highlight w:val="none"/>
                <w:lang w:bidi="ar"/>
              </w:rPr>
              <w:t>负责人、</w:t>
            </w:r>
            <w:r>
              <w:rPr>
                <w:rFonts w:hint="eastAsia" w:ascii="宋体" w:hAnsi="宋体" w:eastAsia="宋体" w:cs="宋体"/>
                <w:b/>
                <w:bCs/>
                <w:color w:val="auto"/>
                <w:kern w:val="0"/>
                <w:sz w:val="24"/>
                <w:highlight w:val="none"/>
                <w:lang w:val="en-US" w:eastAsia="zh-CN" w:bidi="ar"/>
              </w:rPr>
              <w:t>信息化</w:t>
            </w:r>
            <w:r>
              <w:rPr>
                <w:rFonts w:hint="eastAsia" w:ascii="宋体" w:hAnsi="宋体" w:eastAsia="宋体" w:cs="宋体"/>
                <w:b/>
                <w:bCs/>
                <w:color w:val="auto"/>
                <w:kern w:val="0"/>
                <w:sz w:val="24"/>
                <w:highlight w:val="none"/>
                <w:lang w:bidi="ar"/>
              </w:rPr>
              <w:t>负责人不可兼任。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800"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7</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eastAsia="zh-CN" w:bidi="ar"/>
              </w:rPr>
              <w:t>信息化</w:t>
            </w:r>
            <w:r>
              <w:rPr>
                <w:rFonts w:hint="eastAsia" w:ascii="宋体" w:hAnsi="宋体" w:eastAsia="宋体" w:cs="宋体"/>
                <w:color w:val="auto"/>
                <w:kern w:val="0"/>
                <w:sz w:val="24"/>
                <w:highlight w:val="none"/>
                <w:lang w:bidi="ar"/>
              </w:rPr>
              <w:t>负责人</w:t>
            </w:r>
          </w:p>
        </w:tc>
        <w:tc>
          <w:tcPr>
            <w:tcW w:w="387"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ascii="宋体" w:hAnsi="宋体" w:eastAsia="宋体" w:cs="宋体"/>
                <w:color w:val="auto"/>
                <w:kern w:val="0"/>
                <w:sz w:val="24"/>
                <w:highlight w:val="none"/>
                <w:lang w:bidi="ar"/>
              </w:rPr>
              <w:t>3</w:t>
            </w:r>
          </w:p>
        </w:tc>
        <w:tc>
          <w:tcPr>
            <w:tcW w:w="535"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jc w:val="both"/>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根据</w:t>
            </w:r>
            <w:r>
              <w:rPr>
                <w:rFonts w:hint="eastAsia" w:ascii="宋体" w:hAnsi="宋体" w:eastAsia="宋体" w:cs="宋体"/>
                <w:color w:val="auto"/>
                <w:kern w:val="0"/>
                <w:sz w:val="24"/>
                <w:highlight w:val="none"/>
                <w:lang w:eastAsia="zh-Hans" w:bidi="ar"/>
              </w:rPr>
              <w:t>投标人拟投入本项目的</w:t>
            </w:r>
            <w:r>
              <w:rPr>
                <w:rFonts w:hint="eastAsia" w:ascii="宋体" w:hAnsi="宋体" w:eastAsia="宋体" w:cs="宋体"/>
                <w:color w:val="auto"/>
                <w:kern w:val="0"/>
                <w:sz w:val="24"/>
                <w:highlight w:val="none"/>
                <w:lang w:eastAsia="zh-CN" w:bidi="ar"/>
              </w:rPr>
              <w:t>信息化负责人，由评标委员会进行评分：</w:t>
            </w:r>
          </w:p>
          <w:p>
            <w:pPr>
              <w:spacing w:line="500" w:lineRule="exact"/>
              <w:jc w:val="both"/>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①</w:t>
            </w:r>
            <w:r>
              <w:rPr>
                <w:rFonts w:hint="eastAsia" w:ascii="宋体" w:hAnsi="宋体" w:eastAsia="宋体" w:cs="宋体"/>
                <w:color w:val="auto"/>
                <w:kern w:val="0"/>
                <w:sz w:val="24"/>
                <w:highlight w:val="none"/>
                <w:lang w:eastAsia="zh-Hans" w:bidi="ar"/>
              </w:rPr>
              <w:t>具备</w:t>
            </w:r>
            <w:r>
              <w:rPr>
                <w:rFonts w:hint="eastAsia" w:ascii="宋体" w:hAnsi="宋体" w:eastAsia="宋体" w:cs="宋体"/>
                <w:color w:val="auto"/>
                <w:kern w:val="0"/>
                <w:sz w:val="24"/>
                <w:highlight w:val="none"/>
                <w:lang w:eastAsia="zh-CN" w:bidi="ar"/>
              </w:rPr>
              <w:t>人社部颁发的信息系统项目管理师高级证书的得1分；</w:t>
            </w:r>
          </w:p>
          <w:p>
            <w:pPr>
              <w:spacing w:line="500" w:lineRule="exact"/>
              <w:jc w:val="both"/>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②</w:t>
            </w:r>
            <w:r>
              <w:rPr>
                <w:rFonts w:hint="eastAsia" w:ascii="宋体" w:hAnsi="宋体" w:eastAsia="宋体" w:cs="宋体"/>
                <w:color w:val="auto"/>
                <w:kern w:val="0"/>
                <w:sz w:val="24"/>
                <w:highlight w:val="none"/>
                <w:lang w:eastAsia="zh-Hans" w:bidi="ar"/>
              </w:rPr>
              <w:t>具备</w:t>
            </w:r>
            <w:r>
              <w:rPr>
                <w:rFonts w:hint="eastAsia" w:ascii="宋体" w:hAnsi="宋体" w:eastAsia="宋体" w:cs="宋体"/>
                <w:color w:val="auto"/>
                <w:kern w:val="0"/>
                <w:sz w:val="24"/>
                <w:highlight w:val="none"/>
                <w:lang w:eastAsia="zh-CN" w:bidi="ar"/>
              </w:rPr>
              <w:t>人社部颁发的系统架构设计师高级证书的得1分；</w:t>
            </w:r>
          </w:p>
          <w:p>
            <w:pPr>
              <w:spacing w:line="500" w:lineRule="exact"/>
              <w:jc w:val="both"/>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③</w:t>
            </w:r>
            <w:r>
              <w:rPr>
                <w:rFonts w:hint="eastAsia" w:ascii="宋体" w:hAnsi="宋体" w:eastAsia="宋体" w:cs="宋体"/>
                <w:color w:val="auto"/>
                <w:kern w:val="0"/>
                <w:sz w:val="24"/>
                <w:highlight w:val="none"/>
                <w:lang w:eastAsia="zh-Hans" w:bidi="ar"/>
              </w:rPr>
              <w:t>具备</w:t>
            </w:r>
            <w:r>
              <w:rPr>
                <w:rFonts w:hint="eastAsia" w:ascii="宋体" w:hAnsi="宋体" w:eastAsia="宋体" w:cs="宋体"/>
                <w:color w:val="auto"/>
                <w:kern w:val="0"/>
                <w:sz w:val="24"/>
                <w:highlight w:val="none"/>
                <w:lang w:eastAsia="zh-CN" w:bidi="ar"/>
              </w:rPr>
              <w:t>人社部颁发的系统分析师高级证书的得1分。</w:t>
            </w:r>
          </w:p>
          <w:p>
            <w:pPr>
              <w:spacing w:line="500" w:lineRule="exact"/>
              <w:rPr>
                <w:rFonts w:hint="eastAsia" w:ascii="宋体" w:hAnsi="宋体" w:eastAsia="宋体" w:cs="宋体"/>
                <w:bCs/>
                <w:color w:val="auto"/>
                <w:sz w:val="24"/>
                <w:szCs w:val="24"/>
                <w:highlight w:val="none"/>
                <w:lang w:val="en-US" w:eastAsia="zh-CN"/>
              </w:rPr>
            </w:pPr>
            <w:r>
              <w:rPr>
                <w:rFonts w:ascii="宋体" w:hAnsi="宋体" w:eastAsia="宋体" w:cs="宋体"/>
                <w:b/>
                <w:bCs/>
                <w:color w:val="auto"/>
                <w:kern w:val="0"/>
                <w:sz w:val="24"/>
                <w:highlight w:val="none"/>
                <w:lang w:bidi="ar"/>
              </w:rPr>
              <w:t>注：</w:t>
            </w:r>
            <w:r>
              <w:rPr>
                <w:rFonts w:hint="eastAsia" w:ascii="宋体" w:hAnsi="宋体" w:eastAsia="宋体" w:cs="宋体"/>
                <w:b/>
                <w:bCs/>
                <w:color w:val="auto"/>
                <w:kern w:val="0"/>
                <w:sz w:val="24"/>
                <w:highlight w:val="none"/>
                <w:lang w:bidi="ar"/>
              </w:rPr>
              <w:t>须提供有效的证书复印件、</w:t>
            </w:r>
            <w:r>
              <w:rPr>
                <w:rFonts w:ascii="宋体" w:hAnsi="宋体" w:eastAsia="宋体" w:cs="宋体"/>
                <w:b/>
                <w:bCs/>
                <w:color w:val="auto"/>
                <w:kern w:val="0"/>
                <w:sz w:val="24"/>
                <w:highlight w:val="none"/>
                <w:lang w:bidi="ar"/>
              </w:rPr>
              <w:t>投标截止时间前（不含投标截止时间当月）六个月中任意一个月投标人为其缴纳社保的证明材料</w:t>
            </w:r>
            <w:r>
              <w:rPr>
                <w:rFonts w:hint="eastAsia" w:ascii="宋体" w:hAnsi="宋体" w:eastAsia="宋体" w:cs="宋体"/>
                <w:b/>
                <w:bCs/>
                <w:color w:val="auto"/>
                <w:kern w:val="0"/>
                <w:sz w:val="24"/>
                <w:highlight w:val="none"/>
                <w:lang w:bidi="ar"/>
              </w:rPr>
              <w:t>，否则不得分</w:t>
            </w:r>
            <w:r>
              <w:rPr>
                <w:rFonts w:ascii="宋体" w:hAnsi="宋体" w:eastAsia="宋体" w:cs="宋体"/>
                <w:b/>
                <w:bCs/>
                <w:color w:val="auto"/>
                <w:kern w:val="0"/>
                <w:sz w:val="24"/>
                <w:highlight w:val="none"/>
                <w:lang w:bidi="ar"/>
              </w:rPr>
              <w:t>。</w:t>
            </w:r>
            <w:r>
              <w:rPr>
                <w:rFonts w:hint="eastAsia" w:ascii="宋体" w:hAnsi="宋体" w:eastAsia="宋体" w:cs="宋体"/>
                <w:b/>
                <w:bCs/>
                <w:color w:val="auto"/>
                <w:kern w:val="0"/>
                <w:sz w:val="24"/>
                <w:highlight w:val="none"/>
                <w:lang w:bidi="ar"/>
              </w:rPr>
              <w:t>测绘负责人</w:t>
            </w:r>
            <w:r>
              <w:rPr>
                <w:rFonts w:hint="eastAsia" w:ascii="宋体" w:hAnsi="宋体" w:eastAsia="宋体" w:cs="宋体"/>
                <w:b/>
                <w:bCs/>
                <w:color w:val="auto"/>
                <w:kern w:val="0"/>
                <w:sz w:val="24"/>
                <w:highlight w:val="none"/>
                <w:lang w:eastAsia="zh-CN" w:bidi="ar"/>
              </w:rPr>
              <w:t>、</w:t>
            </w:r>
            <w:r>
              <w:rPr>
                <w:rFonts w:hint="eastAsia" w:ascii="宋体" w:hAnsi="宋体" w:eastAsia="宋体" w:cs="宋体"/>
                <w:b/>
                <w:bCs/>
                <w:color w:val="auto"/>
                <w:kern w:val="0"/>
                <w:sz w:val="24"/>
                <w:highlight w:val="none"/>
                <w:lang w:val="en-US" w:eastAsia="zh-CN" w:bidi="ar"/>
              </w:rPr>
              <w:t>设计</w:t>
            </w:r>
            <w:r>
              <w:rPr>
                <w:rFonts w:hint="eastAsia" w:ascii="宋体" w:hAnsi="宋体" w:eastAsia="宋体" w:cs="宋体"/>
                <w:b/>
                <w:bCs/>
                <w:color w:val="auto"/>
                <w:kern w:val="0"/>
                <w:sz w:val="24"/>
                <w:highlight w:val="none"/>
                <w:lang w:bidi="ar"/>
              </w:rPr>
              <w:t>负责人、</w:t>
            </w:r>
            <w:r>
              <w:rPr>
                <w:rFonts w:hint="eastAsia" w:ascii="宋体" w:hAnsi="宋体" w:eastAsia="宋体" w:cs="宋体"/>
                <w:b/>
                <w:bCs/>
                <w:color w:val="auto"/>
                <w:kern w:val="0"/>
                <w:sz w:val="24"/>
                <w:highlight w:val="none"/>
                <w:lang w:val="en-US" w:eastAsia="zh-CN" w:bidi="ar"/>
              </w:rPr>
              <w:t>信息化</w:t>
            </w:r>
            <w:r>
              <w:rPr>
                <w:rFonts w:hint="eastAsia" w:ascii="宋体" w:hAnsi="宋体" w:eastAsia="宋体" w:cs="宋体"/>
                <w:b/>
                <w:bCs/>
                <w:color w:val="auto"/>
                <w:kern w:val="0"/>
                <w:sz w:val="24"/>
                <w:highlight w:val="none"/>
                <w:lang w:bidi="ar"/>
              </w:rPr>
              <w:t>负责人不可兼任。</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F3×A3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满分为</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bl>
      <w:tblPr>
        <w:tblStyle w:val="16"/>
        <w:tblW w:w="499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85"/>
        <w:gridCol w:w="728"/>
        <w:gridCol w:w="996"/>
        <w:gridCol w:w="61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9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390"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534"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是否客观项</w:t>
            </w:r>
          </w:p>
        </w:tc>
        <w:tc>
          <w:tcPr>
            <w:tcW w:w="327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97" w:type="pct"/>
            <w:shd w:val="clear" w:color="auto" w:fill="auto"/>
            <w:vAlign w:val="center"/>
          </w:tcPr>
          <w:p>
            <w:pPr>
              <w:spacing w:line="50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1、综合实力1</w:t>
            </w:r>
          </w:p>
        </w:tc>
        <w:tc>
          <w:tcPr>
            <w:tcW w:w="390"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2</w:t>
            </w:r>
          </w:p>
        </w:tc>
        <w:tc>
          <w:tcPr>
            <w:tcW w:w="534"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Hans" w:bidi="ar"/>
              </w:rPr>
            </w:pPr>
            <w:r>
              <w:rPr>
                <w:rFonts w:hint="eastAsia"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投标人获得国家版权局颁发的山洪灾害调查类计算机软件著作权登记证书的得1分；</w:t>
            </w:r>
          </w:p>
          <w:p>
            <w:pPr>
              <w:spacing w:line="500" w:lineRule="exac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投标人获得国家版权局颁发的洪水风险评估类计算机软件著作权登记证书的得1分。</w:t>
            </w:r>
          </w:p>
          <w:p>
            <w:pPr>
              <w:spacing w:line="500" w:lineRule="exact"/>
              <w:rPr>
                <w:rFonts w:hint="eastAsia" w:ascii="宋体" w:hAnsi="宋体" w:eastAsia="宋体" w:cs="宋体"/>
                <w:color w:val="auto"/>
                <w:kern w:val="0"/>
                <w:sz w:val="24"/>
                <w:highlight w:val="none"/>
                <w:lang w:val="en-US" w:eastAsia="zh-CN" w:bidi="ar"/>
              </w:rPr>
            </w:pPr>
            <w:r>
              <w:rPr>
                <w:rFonts w:hint="eastAsia" w:ascii="宋体" w:hAnsi="宋体" w:eastAsia="宋体" w:cs="宋体"/>
                <w:b/>
                <w:bCs/>
                <w:color w:val="auto"/>
                <w:kern w:val="0"/>
                <w:sz w:val="24"/>
                <w:highlight w:val="none"/>
                <w:lang w:bidi="ar"/>
              </w:rPr>
              <w:t>注：须提供有效的证书复印件，否则不得分</w:t>
            </w:r>
            <w:r>
              <w:rPr>
                <w:rFonts w:ascii="宋体" w:hAnsi="宋体" w:eastAsia="宋体" w:cs="宋体"/>
                <w:b/>
                <w:bCs/>
                <w:color w:val="auto"/>
                <w:kern w:val="0"/>
                <w:sz w:val="24"/>
                <w:highlight w:val="none"/>
                <w:lang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97" w:type="pct"/>
            <w:shd w:val="clear" w:color="auto" w:fill="auto"/>
            <w:vAlign w:val="center"/>
          </w:tcPr>
          <w:p>
            <w:pPr>
              <w:spacing w:line="50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2、综合实力2</w:t>
            </w:r>
          </w:p>
        </w:tc>
        <w:tc>
          <w:tcPr>
            <w:tcW w:w="390"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534"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投标人具有自然资源主管部门颁发的</w:t>
            </w:r>
            <w:r>
              <w:rPr>
                <w:rFonts w:hint="eastAsia" w:ascii="宋体" w:hAnsi="宋体" w:eastAsia="宋体" w:cs="宋体"/>
                <w:b w:val="0"/>
                <w:bCs w:val="0"/>
                <w:color w:val="auto"/>
                <w:kern w:val="0"/>
                <w:sz w:val="24"/>
                <w:highlight w:val="none"/>
                <w:lang w:val="en-US" w:eastAsia="zh-CN" w:bidi="ar"/>
              </w:rPr>
              <w:t>测绘航空摄影专业测绘</w:t>
            </w:r>
            <w:r>
              <w:rPr>
                <w:rFonts w:hint="eastAsia" w:ascii="宋体" w:hAnsi="宋体" w:eastAsia="宋体" w:cs="宋体"/>
                <w:b w:val="0"/>
                <w:bCs w:val="0"/>
                <w:color w:val="auto"/>
                <w:kern w:val="0"/>
                <w:sz w:val="24"/>
                <w:highlight w:val="none"/>
                <w:lang w:bidi="ar"/>
              </w:rPr>
              <w:t>甲级资质得</w:t>
            </w:r>
            <w:r>
              <w:rPr>
                <w:rFonts w:hint="eastAsia" w:ascii="宋体" w:hAnsi="宋体" w:eastAsia="宋体" w:cs="宋体"/>
                <w:b w:val="0"/>
                <w:bCs w:val="0"/>
                <w:color w:val="auto"/>
                <w:kern w:val="0"/>
                <w:sz w:val="24"/>
                <w:highlight w:val="none"/>
                <w:lang w:val="en-US" w:eastAsia="zh-CN" w:bidi="ar"/>
              </w:rPr>
              <w:t>1</w:t>
            </w:r>
            <w:r>
              <w:rPr>
                <w:rFonts w:hint="eastAsia" w:ascii="宋体" w:hAnsi="宋体" w:eastAsia="宋体" w:cs="宋体"/>
                <w:b w:val="0"/>
                <w:bCs w:val="0"/>
                <w:color w:val="auto"/>
                <w:kern w:val="0"/>
                <w:sz w:val="24"/>
                <w:highlight w:val="none"/>
                <w:lang w:bidi="ar"/>
              </w:rPr>
              <w:t>分，乙级资质得</w:t>
            </w:r>
            <w:r>
              <w:rPr>
                <w:rFonts w:hint="eastAsia" w:ascii="宋体" w:hAnsi="宋体" w:eastAsia="宋体" w:cs="宋体"/>
                <w:b w:val="0"/>
                <w:bCs w:val="0"/>
                <w:color w:val="auto"/>
                <w:kern w:val="0"/>
                <w:sz w:val="24"/>
                <w:highlight w:val="none"/>
                <w:lang w:val="en-US" w:eastAsia="zh-CN" w:bidi="ar"/>
              </w:rPr>
              <w:t>0.5</w:t>
            </w:r>
            <w:r>
              <w:rPr>
                <w:rFonts w:hint="eastAsia" w:ascii="宋体" w:hAnsi="宋体" w:eastAsia="宋体" w:cs="宋体"/>
                <w:b w:val="0"/>
                <w:bCs w:val="0"/>
                <w:color w:val="auto"/>
                <w:kern w:val="0"/>
                <w:sz w:val="24"/>
                <w:highlight w:val="none"/>
                <w:lang w:bidi="ar"/>
              </w:rPr>
              <w:t>分。</w:t>
            </w:r>
          </w:p>
          <w:p>
            <w:pPr>
              <w:spacing w:line="500" w:lineRule="exact"/>
              <w:rPr>
                <w:rFonts w:hint="eastAsia" w:ascii="宋体" w:hAnsi="宋体" w:eastAsia="宋体" w:cs="宋体"/>
                <w:color w:val="auto"/>
                <w:kern w:val="0"/>
                <w:sz w:val="24"/>
                <w:highlight w:val="none"/>
                <w:lang w:val="en-US" w:eastAsia="zh-CN" w:bidi="ar"/>
              </w:rPr>
            </w:pPr>
            <w:r>
              <w:rPr>
                <w:rFonts w:hint="eastAsia" w:ascii="宋体" w:hAnsi="宋体" w:eastAsia="宋体" w:cs="宋体"/>
                <w:b/>
                <w:bCs/>
                <w:color w:val="auto"/>
                <w:kern w:val="0"/>
                <w:sz w:val="24"/>
                <w:highlight w:val="none"/>
                <w:lang w:bidi="ar"/>
              </w:rPr>
              <w:t>注：须提供有效的证书复印件，否则不得分。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97" w:type="pct"/>
            <w:shd w:val="clear" w:color="auto" w:fill="auto"/>
            <w:vAlign w:val="center"/>
          </w:tcPr>
          <w:p>
            <w:pPr>
              <w:spacing w:line="50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3、综合实力3</w:t>
            </w:r>
          </w:p>
        </w:tc>
        <w:tc>
          <w:tcPr>
            <w:tcW w:w="390"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ascii="宋体" w:hAnsi="宋体" w:eastAsia="宋体" w:cs="宋体"/>
                <w:color w:val="auto"/>
                <w:kern w:val="0"/>
                <w:sz w:val="24"/>
                <w:highlight w:val="none"/>
                <w:lang w:bidi="ar"/>
              </w:rPr>
              <w:t>1</w:t>
            </w:r>
          </w:p>
        </w:tc>
        <w:tc>
          <w:tcPr>
            <w:tcW w:w="534"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为满足山洪模拟及成灾水位计算的要求，投标人具备通过省级及以上科技主管部门验收并授牌的水动力类重点实验室的得</w:t>
            </w:r>
            <w:r>
              <w:rPr>
                <w:rFonts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bidi="ar"/>
              </w:rPr>
              <w:t>分。</w:t>
            </w:r>
          </w:p>
          <w:p>
            <w:pPr>
              <w:spacing w:line="500" w:lineRule="exact"/>
              <w:rPr>
                <w:rFonts w:hint="default" w:ascii="宋体" w:hAnsi="宋体" w:eastAsia="宋体" w:cs="宋体"/>
                <w:color w:val="auto"/>
                <w:kern w:val="0"/>
                <w:sz w:val="24"/>
                <w:highlight w:val="none"/>
                <w:lang w:val="en-US" w:eastAsia="zh-CN" w:bidi="ar"/>
              </w:rPr>
            </w:pPr>
            <w:r>
              <w:rPr>
                <w:rFonts w:hint="eastAsia" w:ascii="宋体" w:hAnsi="宋体" w:eastAsia="宋体" w:cs="宋体"/>
                <w:b/>
                <w:bCs/>
                <w:color w:val="auto"/>
                <w:kern w:val="0"/>
                <w:sz w:val="24"/>
                <w:highlight w:val="none"/>
                <w:lang w:bidi="ar"/>
              </w:rPr>
              <w:t>注：须提供具有发文单位文号的认定文件复印件，否则不得分。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97" w:type="pct"/>
            <w:shd w:val="clear" w:color="auto" w:fill="auto"/>
            <w:vAlign w:val="center"/>
          </w:tcPr>
          <w:p>
            <w:pPr>
              <w:spacing w:line="500" w:lineRule="exact"/>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bidi="ar"/>
              </w:rPr>
              <w:t>4、业绩1</w:t>
            </w:r>
          </w:p>
        </w:tc>
        <w:tc>
          <w:tcPr>
            <w:tcW w:w="390" w:type="pct"/>
            <w:shd w:val="clear" w:color="auto" w:fill="auto"/>
            <w:vAlign w:val="center"/>
          </w:tcPr>
          <w:p>
            <w:pPr>
              <w:spacing w:line="5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bidi="ar"/>
              </w:rPr>
              <w:t>3</w:t>
            </w:r>
          </w:p>
        </w:tc>
        <w:tc>
          <w:tcPr>
            <w:tcW w:w="534" w:type="pct"/>
            <w:shd w:val="clear" w:color="auto" w:fill="auto"/>
            <w:vAlign w:val="center"/>
          </w:tcPr>
          <w:p>
            <w:pPr>
              <w:spacing w:line="5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根据投标人提供自2020年1月1日以来至本项目投标截止时间止（日期以验收证明为准），投标人承担过省级及以上山洪灾害现场普查项目，每提供一份得</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分，满分3分。</w:t>
            </w:r>
          </w:p>
          <w:p>
            <w:pPr>
              <w:spacing w:line="5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highlight w:val="none"/>
                <w:lang w:bidi="ar"/>
              </w:rPr>
              <w:t>注：须</w:t>
            </w:r>
            <w:r>
              <w:rPr>
                <w:rFonts w:hint="eastAsia" w:ascii="宋体" w:hAnsi="宋体" w:eastAsia="宋体" w:cs="宋体"/>
                <w:b/>
                <w:bCs/>
                <w:color w:val="auto"/>
                <w:sz w:val="24"/>
                <w:highlight w:val="none"/>
              </w:rPr>
              <w:t>提供中标（成交）公告（提供相关网站中标（成交）公告的下载网页并注明网址）、中标（成交）通知书复印件、采购合同文本复印件，以及能够证明该业绩项目已经采购人验收合格的相关证明文件复印件，所有材料缺一不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97" w:type="pct"/>
            <w:shd w:val="clear" w:color="auto" w:fill="auto"/>
            <w:vAlign w:val="center"/>
          </w:tcPr>
          <w:p>
            <w:pPr>
              <w:spacing w:line="500" w:lineRule="exact"/>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bidi="ar"/>
              </w:rPr>
              <w:t>5、业绩2</w:t>
            </w:r>
          </w:p>
        </w:tc>
        <w:tc>
          <w:tcPr>
            <w:tcW w:w="390" w:type="pct"/>
            <w:shd w:val="clear" w:color="auto" w:fill="auto"/>
            <w:vAlign w:val="center"/>
          </w:tcPr>
          <w:p>
            <w:pPr>
              <w:spacing w:line="5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bidi="ar"/>
              </w:rPr>
              <w:t>3</w:t>
            </w:r>
          </w:p>
        </w:tc>
        <w:tc>
          <w:tcPr>
            <w:tcW w:w="534" w:type="pct"/>
            <w:shd w:val="clear" w:color="auto" w:fill="auto"/>
            <w:vAlign w:val="center"/>
          </w:tcPr>
          <w:p>
            <w:pPr>
              <w:spacing w:line="5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根据投标人提供自2020年1月1日以来至本项目投标截止时间止（日期以验收证明为准），投标人承担过省级及以上防洪能力分析项目，每提供一份得</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分，满分3分。</w:t>
            </w:r>
          </w:p>
          <w:p>
            <w:pPr>
              <w:spacing w:line="5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highlight w:val="none"/>
                <w:lang w:bidi="ar"/>
              </w:rPr>
              <w:t>注：须</w:t>
            </w:r>
            <w:r>
              <w:rPr>
                <w:rFonts w:hint="eastAsia" w:ascii="宋体" w:hAnsi="宋体" w:eastAsia="宋体" w:cs="宋体"/>
                <w:b/>
                <w:bCs/>
                <w:color w:val="auto"/>
                <w:sz w:val="24"/>
                <w:highlight w:val="none"/>
              </w:rPr>
              <w:t>提供中标（成交）公告（提供相关网站中标（成交）公告的下载网页并注明网址）、中标（成交）通知书复印件、采购合同文本复印件，以及能够证明该业绩项目已经采购人验收合格的相关证明文件复印件，所有材料缺一不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97" w:type="pct"/>
            <w:shd w:val="clear" w:color="auto" w:fill="auto"/>
            <w:vAlign w:val="center"/>
          </w:tcPr>
          <w:p>
            <w:pPr>
              <w:spacing w:line="500" w:lineRule="exact"/>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bidi="ar"/>
              </w:rPr>
              <w:t>6、业绩3</w:t>
            </w:r>
          </w:p>
        </w:tc>
        <w:tc>
          <w:tcPr>
            <w:tcW w:w="390" w:type="pct"/>
            <w:shd w:val="clear" w:color="auto" w:fill="auto"/>
            <w:vAlign w:val="center"/>
          </w:tcPr>
          <w:p>
            <w:pPr>
              <w:spacing w:line="5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bidi="ar"/>
              </w:rPr>
              <w:t>3</w:t>
            </w:r>
          </w:p>
        </w:tc>
        <w:tc>
          <w:tcPr>
            <w:tcW w:w="534" w:type="pct"/>
            <w:shd w:val="clear" w:color="auto" w:fill="auto"/>
            <w:vAlign w:val="center"/>
          </w:tcPr>
          <w:p>
            <w:pPr>
              <w:spacing w:line="5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根据投标人提供自2020年1月1日以来至本项目投标截止时间止（日期以验收证明为准），投标人承担过省级及以上特征水位调查</w:t>
            </w:r>
            <w:r>
              <w:rPr>
                <w:rFonts w:hint="eastAsia" w:ascii="宋体" w:hAnsi="宋体" w:eastAsia="宋体" w:cs="宋体"/>
                <w:color w:val="auto"/>
                <w:kern w:val="0"/>
                <w:sz w:val="24"/>
                <w:highlight w:val="none"/>
                <w:lang w:val="en-US" w:eastAsia="zh-CN" w:bidi="ar"/>
              </w:rPr>
              <w:t>评价分析</w:t>
            </w:r>
            <w:r>
              <w:rPr>
                <w:rFonts w:hint="eastAsia" w:ascii="宋体" w:hAnsi="宋体" w:eastAsia="宋体" w:cs="宋体"/>
                <w:color w:val="auto"/>
                <w:kern w:val="0"/>
                <w:sz w:val="24"/>
                <w:highlight w:val="none"/>
                <w:lang w:bidi="ar"/>
              </w:rPr>
              <w:t>项目，每提供一份得3分，满分3分。</w:t>
            </w:r>
          </w:p>
          <w:p>
            <w:pPr>
              <w:spacing w:line="500" w:lineRule="exac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highlight w:val="none"/>
                <w:lang w:bidi="ar"/>
              </w:rPr>
              <w:t>注：须</w:t>
            </w:r>
            <w:r>
              <w:rPr>
                <w:rFonts w:hint="eastAsia" w:ascii="宋体" w:hAnsi="宋体" w:eastAsia="宋体" w:cs="宋体"/>
                <w:b/>
                <w:bCs/>
                <w:color w:val="auto"/>
                <w:sz w:val="24"/>
                <w:highlight w:val="none"/>
              </w:rPr>
              <w:t>提供中标（成交）公告（提供相关网站中标（成交）公告的下载网页并注明网址）、中标（成交）通知书复印件、采购合同文本复印件，以及能够证明该业绩项目已经采购人验收合格的相关证明文件复印件，所有材料缺一不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797" w:type="pct"/>
            <w:shd w:val="clear" w:color="auto" w:fill="auto"/>
            <w:vAlign w:val="center"/>
          </w:tcPr>
          <w:p>
            <w:pPr>
              <w:spacing w:line="500" w:lineRule="exact"/>
              <w:jc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7、服务响应</w:t>
            </w:r>
          </w:p>
        </w:tc>
        <w:tc>
          <w:tcPr>
            <w:tcW w:w="390"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2</w:t>
            </w:r>
          </w:p>
        </w:tc>
        <w:tc>
          <w:tcPr>
            <w:tcW w:w="534" w:type="pct"/>
            <w:shd w:val="clear" w:color="auto" w:fill="auto"/>
            <w:vAlign w:val="center"/>
          </w:tcPr>
          <w:p>
            <w:pPr>
              <w:spacing w:line="500" w:lineRule="exact"/>
              <w:jc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是</w:t>
            </w:r>
          </w:p>
        </w:tc>
        <w:tc>
          <w:tcPr>
            <w:tcW w:w="3277" w:type="pct"/>
            <w:shd w:val="clear" w:color="auto" w:fill="auto"/>
            <w:vAlign w:val="center"/>
          </w:tcPr>
          <w:p>
            <w:pPr>
              <w:spacing w:line="500" w:lineRule="exac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投标人承诺在项目验收后两个汛期内，提供1名</w:t>
            </w:r>
            <w:r>
              <w:rPr>
                <w:rFonts w:hint="eastAsia" w:ascii="宋体" w:hAnsi="宋体" w:eastAsia="宋体" w:cs="宋体"/>
                <w:color w:val="auto"/>
                <w:kern w:val="0"/>
                <w:sz w:val="24"/>
                <w:highlight w:val="none"/>
                <w:lang w:val="en-US" w:eastAsia="zh-CN" w:bidi="ar"/>
              </w:rPr>
              <w:t>及</w:t>
            </w:r>
            <w:r>
              <w:rPr>
                <w:rFonts w:hint="eastAsia" w:ascii="宋体" w:hAnsi="宋体" w:eastAsia="宋体" w:cs="宋体"/>
                <w:color w:val="auto"/>
                <w:kern w:val="0"/>
                <w:sz w:val="24"/>
                <w:highlight w:val="none"/>
                <w:lang w:bidi="ar"/>
              </w:rPr>
              <w:t>以上具有解决故障能力的工程师驻点服务，得</w:t>
            </w: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分。</w:t>
            </w:r>
          </w:p>
          <w:p>
            <w:pPr>
              <w:spacing w:line="500" w:lineRule="exact"/>
              <w:rPr>
                <w:rFonts w:hint="eastAsia" w:ascii="宋体" w:hAnsi="宋体" w:eastAsia="宋体" w:cs="宋体"/>
                <w:color w:val="auto"/>
                <w:kern w:val="0"/>
                <w:sz w:val="24"/>
                <w:highlight w:val="none"/>
                <w:lang w:val="en-US" w:eastAsia="zh-CN" w:bidi="ar"/>
              </w:rPr>
            </w:pPr>
            <w:r>
              <w:rPr>
                <w:rFonts w:hint="eastAsia" w:ascii="宋体" w:hAnsi="宋体" w:eastAsia="宋体" w:cs="宋体"/>
                <w:b/>
                <w:bCs/>
                <w:color w:val="auto"/>
                <w:kern w:val="0"/>
                <w:sz w:val="24"/>
                <w:highlight w:val="none"/>
                <w:lang w:bidi="ar"/>
              </w:rPr>
              <w:t>注：须提供承诺函（格式自拟）</w:t>
            </w:r>
            <w:r>
              <w:rPr>
                <w:rFonts w:hint="eastAsia" w:ascii="宋体" w:hAnsi="宋体" w:eastAsia="宋体" w:cs="宋体"/>
                <w:b/>
                <w:bCs/>
                <w:color w:val="auto"/>
                <w:sz w:val="24"/>
                <w:highlight w:val="none"/>
              </w:rPr>
              <w:t>，否则不得分</w:t>
            </w:r>
            <w:r>
              <w:rPr>
                <w:rFonts w:hint="eastAsia" w:ascii="宋体" w:hAnsi="宋体" w:eastAsia="宋体" w:cs="宋体"/>
                <w:b/>
                <w:bCs/>
                <w:color w:val="auto"/>
                <w:kern w:val="0"/>
                <w:sz w:val="24"/>
                <w:highlight w:val="none"/>
                <w:lang w:bidi="ar"/>
              </w:rPr>
              <w:t>。</w:t>
            </w:r>
          </w:p>
        </w:tc>
      </w:tr>
    </w:tbl>
    <w:p>
      <w:pPr>
        <w:pStyle w:val="21"/>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除本章第6.3条第</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款规定情形和落实政府采购政策需进行的价格扣除情形外，不能对投标人的投标报价进行任何调整</w:t>
      </w:r>
      <w:r>
        <w:rPr>
          <w:rFonts w:hint="eastAsia" w:ascii="宋体" w:hAnsi="宋体" w:eastAsia="宋体" w:cs="宋体"/>
          <w:b/>
          <w:bCs/>
          <w:color w:val="auto"/>
          <w:sz w:val="24"/>
          <w:szCs w:val="24"/>
          <w:highlight w:val="none"/>
          <w:lang w:val="en-US" w:eastAsia="zh-CN"/>
        </w:rPr>
        <w:t>。</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中标候选人排列规则顺序如下</w:t>
      </w:r>
      <w:r>
        <w:rPr>
          <w:rFonts w:hint="eastAsia" w:ascii="宋体" w:hAnsi="宋体" w:eastAsia="宋体" w:cs="宋体"/>
          <w:color w:val="auto"/>
          <w:sz w:val="24"/>
          <w:szCs w:val="24"/>
          <w:highlight w:val="none"/>
          <w:lang w:val="en-US" w:eastAsia="zh-CN"/>
        </w:rPr>
        <w:t>：</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按照评标总得分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FA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由高到低顺序排列</w:t>
      </w:r>
      <w:r>
        <w:rPr>
          <w:rFonts w:hint="eastAsia" w:ascii="宋体" w:hAnsi="宋体" w:eastAsia="宋体" w:cs="宋体"/>
          <w:color w:val="auto"/>
          <w:sz w:val="24"/>
          <w:szCs w:val="24"/>
          <w:highlight w:val="none"/>
          <w:lang w:val="en-US" w:eastAsia="zh-CN"/>
        </w:rPr>
        <w:t>。</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FA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相同的，按照评标价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即价格扣除后的投标报价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由低到高顺序排列。</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FA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且评标价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即价格扣除后的投标报价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相同的并列。</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8、其他规定</w:t>
      </w:r>
    </w:p>
    <w:p>
      <w:pPr>
        <w:pStyle w:val="21"/>
        <w:keepNext w:val="0"/>
        <w:keepLines w:val="0"/>
        <w:pageBreakBefore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评标应全程保密且不得透露给任一投标人或与评标工作无关的人员。</w:t>
      </w:r>
    </w:p>
    <w:p>
      <w:pPr>
        <w:pStyle w:val="21"/>
        <w:keepNext w:val="0"/>
        <w:keepLines w:val="0"/>
        <w:pageBreakBefore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评标将进行全程实时录音录像，录音录像资料随采购文件一并存档。</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若投标人有任何试图干扰具体评标事务，影响评标委员会独立履行职责的行为，其投标无效且不予退还投标保证金或通过投标保函进行索赔。情节严重的，由财政部门列入不良行为记录</w:t>
      </w:r>
      <w:r>
        <w:rPr>
          <w:rFonts w:hint="eastAsia" w:ascii="宋体" w:hAnsi="宋体" w:eastAsia="宋体" w:cs="宋体"/>
          <w:b w:val="0"/>
          <w:bCs/>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8.4</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其他：无</w:t>
      </w:r>
      <w:r>
        <w:rPr>
          <w:rFonts w:hint="eastAsia" w:ascii="宋体" w:hAnsi="宋体" w:eastAsia="宋体" w:cs="宋体"/>
          <w:b w:val="0"/>
          <w:bCs/>
          <w:color w:val="auto"/>
          <w:sz w:val="24"/>
          <w:szCs w:val="24"/>
          <w:highlight w:val="none"/>
          <w:lang w:eastAsia="zh-CN"/>
        </w:rPr>
        <w:t>。</w:t>
      </w:r>
    </w:p>
    <w:p>
      <w:pPr>
        <w:keepNext w:val="0"/>
        <w:keepLines w:val="0"/>
        <w:pageBreakBefore w:val="0"/>
        <w:widowControl w:val="0"/>
        <w:kinsoku/>
        <w:overflowPunct/>
        <w:topLinePunct w:val="0"/>
        <w:autoSpaceDE/>
        <w:bidi w:val="0"/>
        <w:adjustRightInd/>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宋体" w:hAnsi="宋体" w:eastAsia="宋体" w:cs="宋体"/>
          <w:color w:val="auto"/>
          <w:sz w:val="24"/>
          <w:szCs w:val="24"/>
          <w:highlight w:val="none"/>
        </w:rPr>
      </w:pPr>
      <w:bookmarkStart w:id="19" w:name="_Toc21637"/>
      <w:r>
        <w:rPr>
          <w:rFonts w:hint="eastAsia" w:ascii="宋体" w:hAnsi="宋体" w:eastAsia="宋体" w:cs="宋体"/>
          <w:b/>
          <w:color w:val="auto"/>
          <w:sz w:val="32"/>
          <w:szCs w:val="32"/>
          <w:highlight w:val="none"/>
        </w:rPr>
        <w:t>第五章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招标内容及要求</w:t>
      </w:r>
      <w:bookmarkEnd w:id="19"/>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一、项目概况</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采购标的</w:t>
      </w:r>
      <w:r>
        <w:rPr>
          <w:rFonts w:hint="eastAsia" w:ascii="宋体" w:hAnsi="宋体" w:eastAsia="宋体" w:cs="宋体"/>
          <w:b/>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ascii="宋体" w:hAnsi="宋体" w:eastAsia="宋体" w:cs="宋体"/>
          <w:color w:val="auto"/>
          <w:sz w:val="24"/>
          <w:highlight w:val="none"/>
        </w:rPr>
        <w:t>根据2025年水利部下达建设任务及我省山灾“四预”能力建设需求，2025年福建省小流域“四预”算据建设方面要开展新增算据建设任务。新增算据建设包括补充调查评价、小流域山洪灾害风险隐患数据补充建设、山洪灾害小流域复核和特性提取、洪水历史数据入库</w:t>
      </w:r>
      <w:r>
        <w:rPr>
          <w:rFonts w:hint="eastAsia" w:ascii="宋体" w:hAnsi="宋体" w:eastAsia="宋体" w:cs="宋体"/>
          <w:b w:val="0"/>
          <w:bCs/>
          <w:color w:val="auto"/>
          <w:sz w:val="24"/>
          <w:szCs w:val="24"/>
          <w:highlight w:val="none"/>
          <w:lang w:val="en-US"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二、技术和服务要求</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以“★”标示的内容为不允许负偏离的实质性要求</w:t>
      </w:r>
      <w:r>
        <w:rPr>
          <w:rFonts w:hint="eastAsia" w:ascii="宋体" w:hAnsi="宋体" w:eastAsia="宋体" w:cs="宋体"/>
          <w:b/>
          <w:color w:val="auto"/>
          <w:sz w:val="24"/>
          <w:szCs w:val="24"/>
          <w:highlight w:val="none"/>
          <w:lang w:eastAsia="zh-CN"/>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（一）补充调查评价</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对目前调查评价未覆盖的重要经济活动区、旅游景区及实施整体搬迁后风险源发生变化等开展调查评价，通过完善补充调查评价，科学划定危险区并确定预警指标，将新增防治对象的调查评价数据和危险区划定成果审核后，汇集至</w:t>
      </w:r>
      <w:r>
        <w:rPr>
          <w:rFonts w:hint="eastAsia" w:ascii="宋体" w:hAnsi="宋体" w:eastAsia="宋体" w:cs="宋体"/>
          <w:color w:val="auto"/>
          <w:sz w:val="24"/>
          <w:highlight w:val="none"/>
        </w:rPr>
        <w:t>采购方指定的防汛业务系统平台</w:t>
      </w:r>
      <w:r>
        <w:rPr>
          <w:rFonts w:ascii="宋体" w:hAnsi="宋体" w:eastAsia="宋体" w:cs="宋体"/>
          <w:color w:val="auto"/>
          <w:sz w:val="24"/>
          <w:highlight w:val="none"/>
        </w:rPr>
        <w:t>，确保山洪灾害防治措施与区域发展现状的适配性，切实提升新型城镇化背景下的灾害防控能力。</w:t>
      </w:r>
    </w:p>
    <w:p>
      <w:pPr>
        <w:spacing w:line="500" w:lineRule="exact"/>
        <w:ind w:firstLine="482" w:firstLineChars="200"/>
        <w:rPr>
          <w:rFonts w:ascii="宋体" w:hAnsi="宋体" w:eastAsia="宋体" w:cs="宋体"/>
          <w:b/>
          <w:bCs/>
          <w:color w:val="auto"/>
          <w:sz w:val="24"/>
          <w:highlight w:val="none"/>
        </w:rPr>
      </w:pPr>
      <w:r>
        <w:rPr>
          <w:rFonts w:ascii="宋体" w:hAnsi="宋体" w:eastAsia="宋体" w:cs="宋体"/>
          <w:b/>
          <w:bCs/>
          <w:color w:val="auto"/>
          <w:sz w:val="24"/>
          <w:highlight w:val="none"/>
        </w:rPr>
        <w:t>★在闽江流域内近年山洪灾害较为频繁的福州、南平、三明地区选取60个新增防治对象（对象清单需经采购人确认），开展山洪灾害补充调查评价工作。</w:t>
      </w:r>
    </w:p>
    <w:p>
      <w:pPr>
        <w:spacing w:line="500" w:lineRule="exact"/>
        <w:ind w:firstLine="480" w:firstLineChars="200"/>
        <w:rPr>
          <w:rFonts w:ascii="宋体" w:hAnsi="宋体" w:eastAsia="宋体" w:cs="宋体"/>
          <w:bCs/>
          <w:color w:val="auto"/>
          <w:sz w:val="24"/>
          <w:highlight w:val="none"/>
        </w:rPr>
      </w:pPr>
      <w:r>
        <w:rPr>
          <w:rFonts w:ascii="宋体" w:hAnsi="宋体" w:eastAsia="宋体" w:cs="宋体"/>
          <w:color w:val="auto"/>
          <w:sz w:val="24"/>
          <w:highlight w:val="none"/>
        </w:rPr>
        <w:t>1、工作要求</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（1）沿河村落（新增防治对象）现场详查</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①沿河村落（新增防治对象）详查</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确定新增防治对象名录后，对新增防治对象进行调查，内容包括：村落名称、村落代码、基准点经度、基准点纬度、基准点高程、户主姓名、家庭人口、住房（包括建筑面积、建筑类型、结构形式、经度、维度、宅基高程、临水、切坡）。测量住房坐标和宅基高程，将住房位置标绘在工作底图上。对住房拍摄满足分辨率要求（像素不小于800×600）的住房照片。沿河村落详查应能满足绘制沿河村落水位～人口、水位～房屋关系曲线。（</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1</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②对于新增防治对象内的企事业单位，应调查办公楼的相应信息。</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2</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（2）沟道控制断面测量</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对影响新增防治对象安全的河（沟）道进行控制断面测量，以满足小流域暴雨洪水分析计算、防洪现状评价、危险区划定和预警指标分析的要求。控制断面测量成果要反映河道断面形态和特征，标注成灾水位和历史最高洪水位等。对补充调查的防治对象河道控制断面测量，断面测量工作的范围为新增防治对象所在沟道的控制断面测量，测量要求如下：</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①每个新增防治对象测量1个纵断面和2～3个横断面(其中标注成灾水位的横断面为控制断面)，如有多条支流汇入，每条支流应加测1个纵断面和2～3个横断面。</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3</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②新增防治对象的上下游横断面间距，参照《水工建筑物与堰槽测流规程》（SL537-2011）。</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4</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③纵断面测量（含水面线测量）一般沿沟（河）道深泓线（山谷线）布置，并向上下游断面外各延伸100m～200m。对于有水面的河道在测量河底高程的同时测量水面高程。对于有历史洪痕的河段需测洪痕点坐标和高程。</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5</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④断面属性描述：河道/沟道的断面形态（三角形、抛物线形、矩形、复式）和河床底质（泥质、沙质、卵石、岩石）情况，糙率取值。</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6</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⑤测量成灾水位和历史最高洪水位。在河道断面测量阶段，将现场详查阶段，标注出的成灾水位位置和历史最高洪水位位置，测量出经纬度坐标和高程，并转化为控制断面上的成灾水位和历史最高洪水位。</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7</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⑥断面测量方法：根据现场实际情况可选择不同的测量方法，如CORS法、全站仪法、GNSSRTK法、三维激光扫描仪法等。水下部分测量参考《水文普通测量规范》（SL58-2014），河道/沟道较窄时可测3-5个点（含深泓点），河道/沟道较宽时测点密度应能够反映水下地形变化，测点间距一般不超过20m。</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8</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⑦断面特征点的选取：横断面的基点以左岸断面桩的起点作为横断面的基点（即起点距的零点），若自右岸断面桩作为基点则应注明。每个河道横断面应不少于8个能反映河道特征的特征点，应包括基点、堤（坡）顶、堤（坡）脚、水边点、历史最高洪水位点、深泓线点（或河底点）。</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9</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⑧新增防治对象的每个横断面至少附照片2张，左右岸各1张，根据断面起伏适当增加照片。</w:t>
      </w:r>
      <w:r>
        <w:rPr>
          <w:rFonts w:ascii="宋体" w:hAnsi="宋体" w:eastAsia="宋体" w:cs="宋体"/>
          <w:b/>
          <w:color w:val="auto"/>
          <w:sz w:val="24"/>
          <w:highlight w:val="none"/>
        </w:rPr>
        <w:t>（评审项1</w:t>
      </w:r>
      <w:r>
        <w:rPr>
          <w:rFonts w:hint="eastAsia" w:ascii="宋体" w:hAnsi="宋体" w:eastAsia="宋体" w:cs="宋体"/>
          <w:b/>
          <w:color w:val="auto"/>
          <w:sz w:val="24"/>
          <w:highlight w:val="none"/>
          <w:lang w:val="en-US" w:eastAsia="zh-CN"/>
        </w:rPr>
        <w:t>0</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⑨纵、横断面测量成果：纵断面测量成果由沟道基点构成的深泓线断面数据和属性或历史洪痕构成，测量成果需填表。</w:t>
      </w:r>
      <w:r>
        <w:rPr>
          <w:rFonts w:ascii="宋体" w:hAnsi="宋体" w:eastAsia="宋体" w:cs="宋体"/>
          <w:b/>
          <w:color w:val="auto"/>
          <w:sz w:val="24"/>
          <w:highlight w:val="none"/>
        </w:rPr>
        <w:t>（评审项</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（3）防洪现状评价</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根据前期基础工作和调查结果，利用小流域工作底图，计算出该新增防治对象小流域控制断面以上的面积、形状、河道坡度、河道长度及小流域出口断面情况，计算出该小流域安全流量和小流域可能最大降雨和流量，分析发生超过安全流量的暴雨洪水时，新增防治对象的淹没、损失情况，对新增防治对象的防洪现状作出初步评价和提出相应的防洪措施。</w:t>
      </w:r>
      <w:r>
        <w:rPr>
          <w:rFonts w:ascii="宋体" w:hAnsi="宋体" w:eastAsia="宋体" w:cs="宋体"/>
          <w:b/>
          <w:color w:val="auto"/>
          <w:sz w:val="24"/>
          <w:highlight w:val="none"/>
        </w:rPr>
        <w:t>（评审项1</w:t>
      </w:r>
      <w:r>
        <w:rPr>
          <w:rFonts w:hint="eastAsia" w:ascii="宋体" w:hAnsi="宋体" w:eastAsia="宋体" w:cs="宋体"/>
          <w:b/>
          <w:color w:val="auto"/>
          <w:sz w:val="24"/>
          <w:highlight w:val="none"/>
          <w:lang w:val="en-US" w:eastAsia="zh-CN"/>
        </w:rPr>
        <w:t>2</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现状防洪能力分析主要内容：新增防治对象成灾水位对应洪峰流量的频率分析，并根据需要辅助分析沿河道路、桥涵、沿河房屋地基等特征水位对应洪峰流量的频率，统计确定成灾水位和其他特征水位、各频率设计洪水位下的累计人口和房屋数，综合评价现状防洪能力。</w:t>
      </w:r>
    </w:p>
    <w:p>
      <w:pPr>
        <w:spacing w:line="500" w:lineRule="exact"/>
        <w:ind w:firstLine="482" w:firstLineChars="200"/>
        <w:rPr>
          <w:rFonts w:ascii="宋体" w:hAnsi="宋体" w:eastAsia="宋体" w:cs="宋体"/>
          <w:b/>
          <w:bCs/>
          <w:color w:val="auto"/>
          <w:sz w:val="24"/>
          <w:highlight w:val="none"/>
        </w:rPr>
      </w:pPr>
      <w:r>
        <w:rPr>
          <w:rFonts w:ascii="宋体" w:hAnsi="宋体" w:eastAsia="宋体" w:cs="宋体"/>
          <w:b/>
          <w:bCs/>
          <w:color w:val="auto"/>
          <w:sz w:val="24"/>
          <w:highlight w:val="none"/>
        </w:rPr>
        <w:t>★①成灾水位确定。根据前期居民位置及高程测量成果，将各户居民住宅高程借用水面比降和离控制断面的距离，将居民住宅实测高程值换算成控制断面处高程数，选取后的居民住宅最低高程数据即为成灾水位。</w:t>
      </w:r>
    </w:p>
    <w:p>
      <w:pPr>
        <w:spacing w:line="500" w:lineRule="exact"/>
        <w:ind w:firstLine="482" w:firstLineChars="200"/>
        <w:rPr>
          <w:rFonts w:ascii="宋体" w:hAnsi="宋体" w:eastAsia="宋体" w:cs="宋体"/>
          <w:b/>
          <w:bCs/>
          <w:color w:val="auto"/>
          <w:sz w:val="24"/>
          <w:highlight w:val="none"/>
        </w:rPr>
      </w:pPr>
      <w:r>
        <w:rPr>
          <w:rFonts w:ascii="宋体" w:hAnsi="宋体" w:eastAsia="宋体" w:cs="宋体"/>
          <w:b/>
          <w:bCs/>
          <w:color w:val="auto"/>
          <w:sz w:val="24"/>
          <w:highlight w:val="none"/>
        </w:rPr>
        <w:t>★②成灾水位对应的洪水频率分析。采用水位流量关系或曼宁公式等水力学方法，求出成灾水位对应的洪峰流量，采用频率分析法或插值法等方法，确定该流量对应的洪水频率。</w:t>
      </w:r>
    </w:p>
    <w:p>
      <w:pPr>
        <w:spacing w:line="500" w:lineRule="exact"/>
        <w:ind w:firstLine="482" w:firstLineChars="200"/>
        <w:rPr>
          <w:rFonts w:ascii="宋体" w:hAnsi="宋体" w:eastAsia="宋体" w:cs="宋体"/>
          <w:b/>
          <w:bCs/>
          <w:color w:val="auto"/>
          <w:sz w:val="24"/>
          <w:highlight w:val="none"/>
        </w:rPr>
      </w:pPr>
      <w:r>
        <w:rPr>
          <w:rFonts w:ascii="宋体" w:hAnsi="宋体" w:eastAsia="宋体" w:cs="宋体"/>
          <w:b/>
          <w:bCs/>
          <w:color w:val="auto"/>
          <w:sz w:val="24"/>
          <w:highlight w:val="none"/>
        </w:rPr>
        <w:t>★③现状防洪能力确定。根据现场调查的沿河村落人口高程分布关系，统计确定成灾水位（及其他特征水位）、各频率设计洪水位下的累计人口和房屋数，绘制防洪现状评价图。根据防洪现状评价图，结合控制断面水位流量关系特点，综合确定沿河村落防灾对象的现状防洪能力。</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（4）危险区等级划分</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依据不同频率降雨条件下河（沟）道洪水淹没范围，结合历史山洪调查资料和现场调查，依照危险区划定技术要求，对现场调查中初步确定的危险区范围、转移路线和临时安置地点进行核对和分级，在地形图或影像图上标注不同等级的山洪灾害危险区范围，标明相应的转移路线和临时避险安置地点。</w:t>
      </w:r>
      <w:r>
        <w:rPr>
          <w:rFonts w:ascii="宋体" w:hAnsi="宋体" w:eastAsia="宋体" w:cs="宋体"/>
          <w:b/>
          <w:bCs/>
          <w:color w:val="auto"/>
          <w:sz w:val="24"/>
          <w:highlight w:val="none"/>
        </w:rPr>
        <w:t>（评审项1</w:t>
      </w:r>
      <w:r>
        <w:rPr>
          <w:rFonts w:hint="eastAsia" w:ascii="宋体" w:hAnsi="宋体" w:eastAsia="宋体" w:cs="宋体"/>
          <w:b/>
          <w:bCs/>
          <w:color w:val="auto"/>
          <w:sz w:val="24"/>
          <w:highlight w:val="none"/>
          <w:lang w:val="en-US" w:eastAsia="zh-CN"/>
        </w:rPr>
        <w:t>3</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bCs/>
          <w:color w:val="auto"/>
          <w:sz w:val="24"/>
          <w:highlight w:val="none"/>
        </w:rPr>
      </w:pPr>
      <w:r>
        <w:rPr>
          <w:rFonts w:ascii="宋体" w:hAnsi="宋体" w:eastAsia="宋体" w:cs="宋体"/>
          <w:color w:val="auto"/>
          <w:sz w:val="24"/>
          <w:highlight w:val="none"/>
        </w:rPr>
        <w:t>采用频率法对危险区进行危险等级划分，并统计人口、房屋等信息。根据5年一遇、20年一遇、100年一遇（或最高历史洪水位，或PMF的最大淹没范围）的洪水位，确定危险区等级，结合地形地貌情况，划定对应等级的危险区范围。在此基础上，基于危险区范围及山洪灾害调查数据，统计各级危险区对应的人口、房屋以及重要基础设施等信息。危险区划分要注意：</w:t>
      </w:r>
      <w:r>
        <w:rPr>
          <w:rFonts w:ascii="宋体" w:hAnsi="宋体" w:eastAsia="宋体" w:cs="宋体"/>
          <w:bCs/>
          <w:color w:val="auto"/>
          <w:sz w:val="24"/>
          <w:highlight w:val="none"/>
        </w:rPr>
        <w:t>①根据具体情况适当调整危险区等级。②考虑工程失事等特殊工况的危险区划分。</w:t>
      </w:r>
      <w:r>
        <w:rPr>
          <w:rFonts w:ascii="宋体" w:hAnsi="宋体" w:eastAsia="宋体" w:cs="宋体"/>
          <w:b/>
          <w:bCs w:val="0"/>
          <w:color w:val="auto"/>
          <w:sz w:val="24"/>
          <w:highlight w:val="none"/>
        </w:rPr>
        <w:t>（评审项1</w:t>
      </w:r>
      <w:r>
        <w:rPr>
          <w:rFonts w:hint="eastAsia" w:ascii="宋体" w:hAnsi="宋体" w:eastAsia="宋体" w:cs="宋体"/>
          <w:b/>
          <w:bCs w:val="0"/>
          <w:color w:val="auto"/>
          <w:sz w:val="24"/>
          <w:highlight w:val="none"/>
          <w:lang w:val="en-US" w:eastAsia="zh-CN"/>
        </w:rPr>
        <w:t>4</w:t>
      </w:r>
      <w:r>
        <w:rPr>
          <w:rFonts w:ascii="宋体" w:hAnsi="宋体" w:eastAsia="宋体" w:cs="宋体"/>
          <w:b/>
          <w:bCs w:val="0"/>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在危险区等级划分的基础上，还应结合沿河村落防灾对象的地形地貌、交通条件等信息，对现场调查的转移路线和安置地点进行评价和修订，以确定最佳的转移路线和临时安置地点。</w:t>
      </w:r>
      <w:r>
        <w:rPr>
          <w:rFonts w:ascii="宋体" w:hAnsi="宋体" w:eastAsia="宋体" w:cs="宋体"/>
          <w:b/>
          <w:bCs/>
          <w:color w:val="auto"/>
          <w:sz w:val="24"/>
          <w:highlight w:val="none"/>
        </w:rPr>
        <w:t>（评审项1</w:t>
      </w:r>
      <w:r>
        <w:rPr>
          <w:rFonts w:hint="eastAsia" w:ascii="宋体" w:hAnsi="宋体" w:eastAsia="宋体" w:cs="宋体"/>
          <w:b/>
          <w:bCs/>
          <w:color w:val="auto"/>
          <w:sz w:val="24"/>
          <w:highlight w:val="none"/>
          <w:lang w:val="en-US" w:eastAsia="zh-CN"/>
        </w:rPr>
        <w:t>5</w:t>
      </w:r>
      <w:r>
        <w:rPr>
          <w:rFonts w:ascii="宋体" w:hAnsi="宋体" w:eastAsia="宋体" w:cs="宋体"/>
          <w:b/>
          <w:bCs/>
          <w:color w:val="auto"/>
          <w:sz w:val="24"/>
          <w:highlight w:val="none"/>
        </w:rPr>
        <w:t>）</w:t>
      </w:r>
    </w:p>
    <w:p>
      <w:pPr>
        <w:spacing w:line="500" w:lineRule="exact"/>
        <w:ind w:firstLine="482" w:firstLineChars="200"/>
        <w:rPr>
          <w:rFonts w:ascii="宋体" w:hAnsi="宋体" w:eastAsia="宋体" w:cs="宋体"/>
          <w:b/>
          <w:bCs/>
          <w:color w:val="auto"/>
          <w:sz w:val="24"/>
          <w:highlight w:val="none"/>
        </w:rPr>
      </w:pPr>
      <w:r>
        <w:rPr>
          <w:rFonts w:ascii="宋体" w:hAnsi="宋体" w:eastAsia="宋体" w:cs="宋体"/>
          <w:b/>
          <w:bCs/>
          <w:color w:val="auto"/>
          <w:sz w:val="24"/>
          <w:highlight w:val="none"/>
        </w:rPr>
        <w:t>★（5）预警指标分析计算</w:t>
      </w:r>
    </w:p>
    <w:p>
      <w:pPr>
        <w:spacing w:line="500" w:lineRule="exact"/>
        <w:ind w:firstLine="482" w:firstLineChars="200"/>
        <w:rPr>
          <w:rFonts w:ascii="宋体" w:hAnsi="宋体" w:eastAsia="宋体" w:cs="宋体"/>
          <w:b/>
          <w:bCs/>
          <w:color w:val="auto"/>
          <w:sz w:val="24"/>
          <w:highlight w:val="none"/>
        </w:rPr>
      </w:pPr>
      <w:r>
        <w:rPr>
          <w:rFonts w:ascii="宋体" w:hAnsi="宋体" w:eastAsia="宋体" w:cs="宋体"/>
          <w:b/>
          <w:bCs/>
          <w:color w:val="auto"/>
          <w:sz w:val="24"/>
          <w:highlight w:val="none"/>
        </w:rPr>
        <w:t>分析计算60个新增防治对象的预警指标阈值，并在危险区图上标明关联的监测站点及相应的预警指标和阈值。山洪灾害预警指标分析针对各个沿河村落防灾对象进行。对于地理位置非常接近且所在河段河流地貌形态相似的多个防灾对象，可以使用相同的预警指标。预警指标包括雨量预警指标与水位预警指标两类，阈值按准备准备转移和立即转移两级确定。根据各地实际情况，也可基于气象预报或水文预报信息，增加一级警戒预警阈值。</w:t>
      </w:r>
    </w:p>
    <w:p>
      <w:pPr>
        <w:spacing w:line="500" w:lineRule="exact"/>
        <w:ind w:firstLine="482" w:firstLineChars="200"/>
        <w:rPr>
          <w:rFonts w:ascii="宋体" w:hAnsi="宋体" w:eastAsia="宋体" w:cs="宋体"/>
          <w:b/>
          <w:bCs/>
          <w:color w:val="auto"/>
          <w:sz w:val="24"/>
          <w:highlight w:val="none"/>
        </w:rPr>
      </w:pPr>
      <w:r>
        <w:rPr>
          <w:rFonts w:ascii="宋体" w:hAnsi="宋体" w:eastAsia="宋体" w:cs="宋体"/>
          <w:b/>
          <w:bCs/>
          <w:color w:val="auto"/>
          <w:sz w:val="24"/>
          <w:highlight w:val="none"/>
        </w:rPr>
        <w:t>预警指标分析成果是山洪灾害预警的重要依据，各地应在分析成果的基础上，根据实际情况进行检验修正，在工作中运用和改进。</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（二）小流域山洪灾害风险隐患数据补充建设</w:t>
      </w:r>
    </w:p>
    <w:p>
      <w:pPr>
        <w:spacing w:line="500" w:lineRule="exact"/>
        <w:ind w:firstLine="480" w:firstLineChars="200"/>
        <w:rPr>
          <w:rFonts w:ascii="宋体" w:hAnsi="宋体" w:eastAsia="宋体" w:cs="宋体"/>
          <w:b/>
          <w:bCs/>
          <w:color w:val="auto"/>
          <w:sz w:val="24"/>
          <w:highlight w:val="none"/>
        </w:rPr>
      </w:pPr>
      <w:r>
        <w:rPr>
          <w:rFonts w:ascii="宋体" w:hAnsi="宋体" w:eastAsia="宋体" w:cs="宋体"/>
          <w:color w:val="auto"/>
          <w:sz w:val="24"/>
          <w:highlight w:val="none"/>
        </w:rPr>
        <w:t>为加快堤防数据修正、补充，保证“多源汇聚、一数一源”，自行收集闽江流域内的5级以上堤防，开展堤防分布矢量修正和堤顶高程点补充测量工作，夯实闽江流域堤防数据，提高完整性和准确性。主要工作内容为复核并修正闽江流域内5级以上堤防矢量数据，补充测量部分堤段的高程点数据，对补测涉及到的堤防、居民点进行360全景拍摄。经过各方数据比对分析，补测堤防长度约2000km，拍摄点204处。</w:t>
      </w:r>
      <w:r>
        <w:rPr>
          <w:rFonts w:ascii="宋体" w:hAnsi="宋体" w:eastAsia="宋体" w:cs="宋体"/>
          <w:b/>
          <w:bCs/>
          <w:color w:val="auto"/>
          <w:sz w:val="24"/>
          <w:highlight w:val="none"/>
        </w:rPr>
        <w:t>（评审项</w:t>
      </w:r>
      <w:r>
        <w:rPr>
          <w:rFonts w:hint="eastAsia" w:ascii="宋体" w:hAnsi="宋体" w:eastAsia="宋体" w:cs="宋体"/>
          <w:b/>
          <w:bCs/>
          <w:color w:val="auto"/>
          <w:sz w:val="24"/>
          <w:highlight w:val="none"/>
          <w:lang w:val="en-US" w:eastAsia="zh-CN"/>
        </w:rPr>
        <w:t>16</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（1）堤顶高程测量</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①堤顶高程测量范围：</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1）补测堤防高程点，测量间隔20m-50m，要求能够充分反映堤防现状防御能力，并在堤防走向变化、堤顶高程变动幅度较大以及存在明显薄弱环节堤段加密测量点。</w:t>
      </w:r>
      <w:r>
        <w:rPr>
          <w:rFonts w:ascii="宋体" w:hAnsi="宋体" w:eastAsia="宋体" w:cs="宋体"/>
          <w:b/>
          <w:color w:val="auto"/>
          <w:sz w:val="24"/>
          <w:highlight w:val="none"/>
        </w:rPr>
        <w:t>（评审项</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7</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2）堤防典型堤段和堤防薄弱处需拍照1-2张。</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18</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3）堤防后为乡镇政府驻地、镇区学校应补充测量代表高程点。</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19</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4）堤顶与背水堤脚高差过大，应补充测量代表高程点。</w:t>
      </w:r>
      <w:r>
        <w:rPr>
          <w:rFonts w:ascii="宋体" w:hAnsi="宋体" w:eastAsia="宋体" w:cs="宋体"/>
          <w:b/>
          <w:color w:val="auto"/>
          <w:sz w:val="24"/>
          <w:highlight w:val="none"/>
        </w:rPr>
        <w:t>（评审项</w:t>
      </w: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5）堤防附近若有已建水文站、水位站或立杆水位站等，应测量平面位置并拍照。</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21</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②堤顶高程测量技术要求：</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1）按照RTK碎部点高程测量采集规范，作业时保留所测RTK高程数据。流动站RTK测量接收设备持续显示固定解后方可开始观测，采用带圆气泡的对中杆进行测量，测量过程中应准确量取或计算对中杆的长度。</w:t>
      </w:r>
      <w:r>
        <w:rPr>
          <w:rFonts w:ascii="宋体" w:hAnsi="宋体" w:eastAsia="宋体" w:cs="宋体"/>
          <w:b/>
          <w:color w:val="auto"/>
          <w:sz w:val="24"/>
          <w:highlight w:val="none"/>
        </w:rPr>
        <w:t>（评审项2</w:t>
      </w:r>
      <w:r>
        <w:rPr>
          <w:rFonts w:hint="eastAsia" w:ascii="宋体" w:hAnsi="宋体" w:eastAsia="宋体" w:cs="宋体"/>
          <w:b/>
          <w:color w:val="auto"/>
          <w:sz w:val="24"/>
          <w:highlight w:val="none"/>
          <w:lang w:val="en-US" w:eastAsia="zh-CN"/>
        </w:rPr>
        <w:t>2</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2）平面坐标要求统一为2000国家大地坐标系（CGCS2000），高程要求统一为1985国家高程基准，满足数据整编及上图要求。</w:t>
      </w:r>
      <w:r>
        <w:rPr>
          <w:rFonts w:ascii="宋体" w:hAnsi="宋体" w:eastAsia="宋体" w:cs="宋体"/>
          <w:b/>
          <w:color w:val="auto"/>
          <w:sz w:val="24"/>
          <w:highlight w:val="none"/>
        </w:rPr>
        <w:t>（评审项2</w:t>
      </w:r>
      <w:r>
        <w:rPr>
          <w:rFonts w:hint="eastAsia" w:ascii="宋体" w:hAnsi="宋体" w:eastAsia="宋体" w:cs="宋体"/>
          <w:b/>
          <w:color w:val="auto"/>
          <w:sz w:val="24"/>
          <w:highlight w:val="none"/>
          <w:lang w:val="en-US" w:eastAsia="zh-CN"/>
        </w:rPr>
        <w:t>3</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测量精度参照《水文测量规范》（SL58-2014）、《水利水电工程测量规范》（SL197-2013）、《连续运行基准站网网络RTK高程测量技术规范》（DB35/T1604-2016）等要求，高程碎步点似大地水准面精化模型内符合精度≤10.0cm。</w:t>
      </w:r>
      <w:r>
        <w:rPr>
          <w:rFonts w:ascii="宋体" w:hAnsi="宋体" w:eastAsia="宋体" w:cs="宋体"/>
          <w:b/>
          <w:color w:val="auto"/>
          <w:sz w:val="24"/>
          <w:highlight w:val="none"/>
        </w:rPr>
        <w:t>（评审项2</w:t>
      </w:r>
      <w:r>
        <w:rPr>
          <w:rFonts w:hint="eastAsia" w:ascii="宋体" w:hAnsi="宋体" w:eastAsia="宋体" w:cs="宋体"/>
          <w:b/>
          <w:color w:val="auto"/>
          <w:sz w:val="24"/>
          <w:highlight w:val="none"/>
          <w:lang w:val="en-US" w:eastAsia="zh-CN"/>
        </w:rPr>
        <w:t>4</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测量过程中或成果提交前，应按相关技术规定进行实地检核。网络RTK检核可采用网络RTK高程测量方法测量已知控制点高程值（有条件区域）或重测部分已测的测量点高程值（无条件区域）进行比较检核，测量点检测较差应满足DB35/T1604-2016检测较差的规定。</w:t>
      </w:r>
      <w:r>
        <w:rPr>
          <w:rFonts w:ascii="宋体" w:hAnsi="宋体" w:eastAsia="宋体" w:cs="宋体"/>
          <w:b/>
          <w:color w:val="auto"/>
          <w:sz w:val="24"/>
          <w:highlight w:val="none"/>
        </w:rPr>
        <w:t>（评审项2</w:t>
      </w:r>
      <w:r>
        <w:rPr>
          <w:rFonts w:hint="eastAsia" w:ascii="宋体" w:hAnsi="宋体" w:eastAsia="宋体" w:cs="宋体"/>
          <w:b/>
          <w:color w:val="auto"/>
          <w:sz w:val="24"/>
          <w:highlight w:val="none"/>
          <w:lang w:val="en-US" w:eastAsia="zh-CN"/>
        </w:rPr>
        <w:t>5</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5）成果体系要求形成高程点测量成果表（xls格式）、高程点电子成果图（cad或shp格式）、堤防照片（jpg或png格式）。</w:t>
      </w:r>
      <w:r>
        <w:rPr>
          <w:rFonts w:ascii="宋体" w:hAnsi="宋体" w:eastAsia="宋体" w:cs="宋体"/>
          <w:b/>
          <w:color w:val="auto"/>
          <w:sz w:val="24"/>
          <w:highlight w:val="none"/>
        </w:rPr>
        <w:t>（评审项</w:t>
      </w: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6</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（2）堤防360全景拍摄</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针对本次补测堤防集中的河段、乡镇或行政村，采用无人机进行全景照片航拍，标注河流流向、堤防名称、所在乡镇等关键信息，利用专业软件生成全景照片。航拍对象重点关注两岸堤防，用于堤防轴线修正复核，辅助汛期防御过程现场防洪能力查看。</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①堤防 360 全景拍摄技术要求：</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1）利用无人机悬停，悬停高度应能够清晰捕捉堤防主要构筑物及其保护建筑物的分布。拍摄多张照片，相邻照片之间要求30％-40％画面重合，画面过渡流畅，无明显色差变形。</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27</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2）全景照片生成过程中，应标注河流流向、堤防名称、所在乡镇等关键信息。</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28</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（3）堤防分布矢量修正</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补充本次测量成果、航飞全景照片作为参考，开展堤防矢量修正，补充完整堤防矢量分布，避免出现堤防轴线偏移过大。</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①堤防分布矢量修正技术要求：</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1）工作底图采用近期遥感影像，并结合新版1:10000地形图、沿河条带地形图等进行分析。</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29</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2）堤防起止与分段属性，根据自行收集的报告资料、补测成果进行数据补充和属性复核。</w:t>
      </w:r>
      <w:r>
        <w:rPr>
          <w:rFonts w:ascii="宋体" w:hAnsi="宋体" w:eastAsia="宋体" w:cs="宋体"/>
          <w:b/>
          <w:color w:val="auto"/>
          <w:sz w:val="24"/>
          <w:highlight w:val="none"/>
        </w:rPr>
        <w:t>（评审项</w:t>
      </w: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3）统一根据堤顶轴线进行矢量修正，用来表征堤防走向和位置。</w:t>
      </w:r>
      <w:r>
        <w:rPr>
          <w:rFonts w:ascii="宋体" w:hAnsi="宋体" w:eastAsia="宋体" w:cs="宋体"/>
          <w:b/>
          <w:color w:val="auto"/>
          <w:sz w:val="24"/>
          <w:highlight w:val="none"/>
        </w:rPr>
        <w:t>（评审项3</w:t>
      </w:r>
      <w:r>
        <w:rPr>
          <w:rFonts w:hint="eastAsia" w:ascii="宋体" w:hAnsi="宋体" w:eastAsia="宋体" w:cs="宋体"/>
          <w:b/>
          <w:color w:val="auto"/>
          <w:sz w:val="24"/>
          <w:highlight w:val="none"/>
          <w:lang w:val="en-US" w:eastAsia="zh-CN"/>
        </w:rPr>
        <w:t>1</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4</w:t>
      </w:r>
      <w:r>
        <w:rPr>
          <w:rFonts w:hint="eastAsia" w:ascii="宋体" w:hAnsi="宋体" w:eastAsia="宋体" w:cs="宋体"/>
          <w:color w:val="auto"/>
          <w:sz w:val="24"/>
          <w:highlight w:val="none"/>
        </w:rPr>
        <w:t>）</w:t>
      </w:r>
      <w:r>
        <w:rPr>
          <w:rFonts w:ascii="宋体" w:hAnsi="宋体" w:eastAsia="宋体" w:cs="宋体"/>
          <w:color w:val="auto"/>
          <w:sz w:val="24"/>
          <w:highlight w:val="none"/>
        </w:rPr>
        <w:t>堤防成果汇集</w:t>
      </w:r>
    </w:p>
    <w:p>
      <w:pPr>
        <w:spacing w:line="500" w:lineRule="exact"/>
        <w:ind w:firstLine="480" w:firstLineChars="200"/>
        <w:rPr>
          <w:rFonts w:ascii="宋体" w:hAnsi="宋体" w:eastAsia="宋体" w:cs="宋体"/>
          <w:bCs/>
          <w:color w:val="auto"/>
          <w:sz w:val="24"/>
          <w:highlight w:val="none"/>
        </w:rPr>
      </w:pPr>
      <w:r>
        <w:rPr>
          <w:rFonts w:ascii="宋体" w:hAnsi="宋体" w:eastAsia="宋体" w:cs="宋体"/>
          <w:color w:val="auto"/>
          <w:sz w:val="24"/>
          <w:highlight w:val="none"/>
        </w:rPr>
        <w:t>将本次补充测量成果与已有堤防高程信息</w:t>
      </w:r>
      <w:r>
        <w:rPr>
          <w:rFonts w:hint="eastAsia" w:ascii="宋体" w:hAnsi="宋体" w:eastAsia="宋体" w:cs="宋体"/>
          <w:color w:val="auto"/>
          <w:sz w:val="24"/>
          <w:highlight w:val="none"/>
        </w:rPr>
        <w:t>，</w:t>
      </w:r>
      <w:r>
        <w:rPr>
          <w:rFonts w:ascii="宋体" w:hAnsi="宋体" w:eastAsia="宋体" w:cs="宋体"/>
          <w:color w:val="auto"/>
          <w:sz w:val="24"/>
          <w:highlight w:val="none"/>
        </w:rPr>
        <w:t>即闽江流域内</w:t>
      </w:r>
      <w:r>
        <w:rPr>
          <w:rFonts w:hint="eastAsia" w:ascii="宋体" w:hAnsi="宋体" w:eastAsia="宋体" w:cs="宋体"/>
          <w:color w:val="auto"/>
          <w:sz w:val="24"/>
          <w:highlight w:val="none"/>
        </w:rPr>
        <w:t>5级以上堤防高程信息全部汇集至采购方指定的防汛业务系统平台。集成要素包括堤轴线、堤顶高程、堤防所在河段3</w:t>
      </w:r>
      <w:r>
        <w:rPr>
          <w:rFonts w:ascii="宋体" w:hAnsi="宋体" w:eastAsia="宋体" w:cs="宋体"/>
          <w:color w:val="auto"/>
          <w:sz w:val="24"/>
          <w:highlight w:val="none"/>
        </w:rPr>
        <w:t>60全景照片</w:t>
      </w:r>
      <w:r>
        <w:rPr>
          <w:rFonts w:hint="eastAsia" w:ascii="宋体" w:hAnsi="宋体" w:eastAsia="宋体" w:cs="宋体"/>
          <w:color w:val="auto"/>
          <w:sz w:val="24"/>
          <w:highlight w:val="none"/>
        </w:rPr>
        <w:t>。</w:t>
      </w:r>
      <w:r>
        <w:rPr>
          <w:rFonts w:ascii="宋体" w:hAnsi="宋体" w:eastAsia="宋体" w:cs="宋体"/>
          <w:b/>
          <w:color w:val="auto"/>
          <w:sz w:val="24"/>
          <w:highlight w:val="none"/>
        </w:rPr>
        <w:t>（评审项3</w:t>
      </w:r>
      <w:r>
        <w:rPr>
          <w:rFonts w:hint="eastAsia" w:ascii="宋体" w:hAnsi="宋体" w:eastAsia="宋体" w:cs="宋体"/>
          <w:b/>
          <w:color w:val="auto"/>
          <w:sz w:val="24"/>
          <w:highlight w:val="none"/>
          <w:lang w:val="en-US" w:eastAsia="zh-CN"/>
        </w:rPr>
        <w:t>2</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（三）山洪灾害小流域复核和特性提取</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根据全国山洪灾害调查名录，我省共有1600多个流域面积20-50km</w:t>
      </w:r>
      <w:r>
        <w:rPr>
          <w:rFonts w:ascii="宋体" w:hAnsi="宋体" w:eastAsia="宋体" w:cs="宋体"/>
          <w:color w:val="auto"/>
          <w:sz w:val="24"/>
          <w:highlight w:val="none"/>
          <w:vertAlign w:val="superscript"/>
        </w:rPr>
        <w:t>2</w:t>
      </w:r>
      <w:r>
        <w:rPr>
          <w:rFonts w:ascii="宋体" w:hAnsi="宋体" w:eastAsia="宋体" w:cs="宋体"/>
          <w:color w:val="auto"/>
          <w:sz w:val="24"/>
          <w:highlight w:val="none"/>
        </w:rPr>
        <w:t>的小流域。针对已划分的小流域成果进行检查复核，分析合理性，复核修正河流中心线、补充提取河流范围矢量数据，梳理上下级流域拓扑关系，清查河流名称、河流编码、河源、河口、流经城镇、平均坡降等基本特征。</w:t>
      </w:r>
      <w:r>
        <w:rPr>
          <w:rFonts w:ascii="宋体" w:hAnsi="宋体" w:eastAsia="宋体" w:cs="宋体"/>
          <w:b/>
          <w:color w:val="auto"/>
          <w:sz w:val="24"/>
          <w:highlight w:val="none"/>
        </w:rPr>
        <w:t>（评审项3</w:t>
      </w:r>
      <w:r>
        <w:rPr>
          <w:rFonts w:hint="eastAsia" w:ascii="宋体" w:hAnsi="宋体" w:eastAsia="宋体" w:cs="宋体"/>
          <w:b/>
          <w:color w:val="auto"/>
          <w:sz w:val="24"/>
          <w:highlight w:val="none"/>
          <w:lang w:val="en-US" w:eastAsia="zh-CN"/>
        </w:rPr>
        <w:t>3</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（1）河流中心线复核</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针对小流域河流中心线，结合新版1:10000地形图、遥感影像图进行叠加查看，并根据实际河道情况对水系分布进行核查和修正。</w:t>
      </w:r>
      <w:r>
        <w:rPr>
          <w:rFonts w:ascii="宋体" w:hAnsi="宋体" w:eastAsia="宋体" w:cs="宋体"/>
          <w:b/>
          <w:color w:val="auto"/>
          <w:sz w:val="24"/>
          <w:highlight w:val="none"/>
        </w:rPr>
        <w:t>（评审项3</w:t>
      </w:r>
      <w:r>
        <w:rPr>
          <w:rFonts w:hint="eastAsia" w:ascii="宋体" w:hAnsi="宋体" w:eastAsia="宋体" w:cs="宋体"/>
          <w:b/>
          <w:color w:val="auto"/>
          <w:sz w:val="24"/>
          <w:highlight w:val="none"/>
          <w:lang w:val="en-US" w:eastAsia="zh-CN"/>
        </w:rPr>
        <w:t>4</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（2）小流域范围提取</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根据修正之后的河流中心线，根据自行收集的DEM数据提取对应的小流域范围，要求DEM分辨率优于15m。提取结果需要进行复核修正，主要参考1:10000地形图，根据地形图山脊线走势，以及实际河网分布情况，来对提取结果进行修正。</w:t>
      </w:r>
      <w:r>
        <w:rPr>
          <w:rFonts w:ascii="宋体" w:hAnsi="宋体" w:eastAsia="宋体" w:cs="宋体"/>
          <w:b/>
          <w:bCs/>
          <w:color w:val="auto"/>
          <w:sz w:val="24"/>
          <w:highlight w:val="none"/>
        </w:rPr>
        <w:t>（评审项3</w:t>
      </w:r>
      <w:r>
        <w:rPr>
          <w:rFonts w:hint="eastAsia" w:ascii="宋体" w:hAnsi="宋体" w:eastAsia="宋体" w:cs="宋体"/>
          <w:b/>
          <w:bCs/>
          <w:color w:val="auto"/>
          <w:sz w:val="24"/>
          <w:highlight w:val="none"/>
          <w:lang w:val="en-US" w:eastAsia="zh-CN"/>
        </w:rPr>
        <w:t>5</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（3）拓扑关系建立</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在提取小流域范围完成之后，需要根据河流名称、流域等级进行上下级流域拓扑关系建立，各小流域能够对应索引至上一级流域面积50km</w:t>
      </w:r>
      <w:r>
        <w:rPr>
          <w:rFonts w:ascii="宋体" w:hAnsi="宋体" w:eastAsia="宋体" w:cs="宋体"/>
          <w:color w:val="auto"/>
          <w:sz w:val="24"/>
          <w:highlight w:val="none"/>
          <w:vertAlign w:val="superscript"/>
        </w:rPr>
        <w:t>2</w:t>
      </w:r>
      <w:r>
        <w:rPr>
          <w:rFonts w:ascii="宋体" w:hAnsi="宋体" w:eastAsia="宋体" w:cs="宋体"/>
          <w:color w:val="auto"/>
          <w:sz w:val="24"/>
          <w:highlight w:val="none"/>
        </w:rPr>
        <w:t>以上河流。</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36</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（4）流域属性赋值</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①河流命名原则</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自行收集小流域名称，河流名称在县级行政区内具有唯一性，若已有惯例名称或常用名称，则使用原名称。</w:t>
      </w:r>
      <w:r>
        <w:rPr>
          <w:rFonts w:hint="eastAsia" w:ascii="宋体" w:hAnsi="宋体" w:eastAsia="宋体" w:cs="宋体"/>
          <w:color w:val="auto"/>
          <w:sz w:val="24"/>
          <w:highlight w:val="none"/>
        </w:rPr>
        <w:t>需要新命名的小流域，命名应力求简明确切，易于辨识，可采用当地沟道、村庄、山脉或河流的名称；若一个小流域内包含多个村庄时，命名可采用人口最多的村庄名称。</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37</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②河流编码结构</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河流编码采用拉丁字母(I、O、Z舍弃)和数字的混合编码，共12位，分别表示河流所在的流域、水系、编码和类别。编码规则</w:t>
      </w:r>
      <w:r>
        <w:rPr>
          <w:rFonts w:hint="eastAsia" w:ascii="宋体" w:hAnsi="宋体" w:eastAsia="宋体" w:cs="宋体"/>
          <w:color w:val="auto"/>
          <w:sz w:val="24"/>
          <w:highlight w:val="none"/>
        </w:rPr>
        <w:t>参</w:t>
      </w:r>
      <w:r>
        <w:rPr>
          <w:rFonts w:ascii="宋体" w:hAnsi="宋体" w:eastAsia="宋体" w:cs="宋体"/>
          <w:color w:val="auto"/>
          <w:sz w:val="24"/>
          <w:highlight w:val="none"/>
        </w:rPr>
        <w:t>照第一次全国水利普查河流编码规则</w:t>
      </w:r>
      <w:r>
        <w:rPr>
          <w:rFonts w:hint="eastAsia" w:ascii="宋体" w:hAnsi="宋体" w:eastAsia="宋体" w:cs="宋体"/>
          <w:color w:val="auto"/>
          <w:sz w:val="24"/>
          <w:highlight w:val="none"/>
        </w:rPr>
        <w:t>。</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38</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③属性赋值</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小流域属性包括小流域名称、编码、面积、河长、平均坡降、河源、河口、流经城镇等特征属性，同时包括上一级河流名称、上一级河流编码等关联属性。</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39</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（5）小流域划分数据成果集成</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将本次小流域划分矢量信息全部汇集至</w:t>
      </w:r>
      <w:r>
        <w:rPr>
          <w:rFonts w:hint="eastAsia" w:ascii="宋体" w:hAnsi="宋体" w:eastAsia="宋体" w:cs="宋体"/>
          <w:color w:val="auto"/>
          <w:sz w:val="24"/>
          <w:highlight w:val="none"/>
        </w:rPr>
        <w:t>及采购方指定的防汛业务</w:t>
      </w:r>
      <w:r>
        <w:rPr>
          <w:rFonts w:ascii="宋体" w:hAnsi="宋体" w:eastAsia="宋体" w:cs="宋体"/>
          <w:color w:val="auto"/>
          <w:sz w:val="24"/>
          <w:highlight w:val="none"/>
        </w:rPr>
        <w:t>系统平台</w:t>
      </w:r>
      <w:r>
        <w:rPr>
          <w:rFonts w:hint="eastAsia" w:ascii="宋体" w:hAnsi="宋体" w:eastAsia="宋体" w:cs="宋体"/>
          <w:color w:val="auto"/>
          <w:sz w:val="24"/>
          <w:highlight w:val="none"/>
        </w:rPr>
        <w:t>。</w:t>
      </w:r>
      <w:r>
        <w:rPr>
          <w:rFonts w:ascii="宋体" w:hAnsi="宋体" w:eastAsia="宋体" w:cs="宋体"/>
          <w:color w:val="auto"/>
          <w:sz w:val="24"/>
          <w:highlight w:val="none"/>
        </w:rPr>
        <w:t>集成要素包括流域范围</w:t>
      </w:r>
      <w:r>
        <w:rPr>
          <w:rFonts w:hint="eastAsia" w:ascii="宋体" w:hAnsi="宋体" w:eastAsia="宋体" w:cs="宋体"/>
          <w:color w:val="auto"/>
          <w:sz w:val="24"/>
          <w:highlight w:val="none"/>
        </w:rPr>
        <w:t>、</w:t>
      </w:r>
      <w:r>
        <w:rPr>
          <w:rFonts w:ascii="宋体" w:hAnsi="宋体" w:eastAsia="宋体" w:cs="宋体"/>
          <w:color w:val="auto"/>
          <w:sz w:val="24"/>
          <w:highlight w:val="none"/>
        </w:rPr>
        <w:t>流域名称</w:t>
      </w:r>
      <w:r>
        <w:rPr>
          <w:rFonts w:hint="eastAsia" w:ascii="宋体" w:hAnsi="宋体" w:eastAsia="宋体" w:cs="宋体"/>
          <w:color w:val="auto"/>
          <w:sz w:val="24"/>
          <w:highlight w:val="none"/>
        </w:rPr>
        <w:t>、</w:t>
      </w:r>
      <w:r>
        <w:rPr>
          <w:rFonts w:ascii="宋体" w:hAnsi="宋体" w:eastAsia="宋体" w:cs="宋体"/>
          <w:color w:val="auto"/>
          <w:sz w:val="24"/>
          <w:highlight w:val="none"/>
        </w:rPr>
        <w:t>流域面积等</w:t>
      </w:r>
      <w:r>
        <w:rPr>
          <w:rFonts w:hint="eastAsia" w:ascii="宋体" w:hAnsi="宋体" w:eastAsia="宋体" w:cs="宋体"/>
          <w:color w:val="auto"/>
          <w:sz w:val="24"/>
          <w:highlight w:val="none"/>
        </w:rPr>
        <w:t>。</w:t>
      </w:r>
      <w:r>
        <w:rPr>
          <w:rFonts w:ascii="宋体" w:hAnsi="宋体" w:eastAsia="宋体" w:cs="宋体"/>
          <w:b/>
          <w:color w:val="auto"/>
          <w:sz w:val="24"/>
          <w:highlight w:val="none"/>
        </w:rPr>
        <w:t>（评审项</w:t>
      </w:r>
      <w:r>
        <w:rPr>
          <w:rFonts w:hint="eastAsia" w:ascii="宋体" w:hAnsi="宋体" w:eastAsia="宋体" w:cs="宋体"/>
          <w:b/>
          <w:color w:val="auto"/>
          <w:sz w:val="24"/>
          <w:highlight w:val="none"/>
        </w:rPr>
        <w:t>4</w:t>
      </w:r>
      <w:r>
        <w:rPr>
          <w:rFonts w:hint="eastAsia" w:ascii="宋体" w:hAnsi="宋体" w:eastAsia="宋体" w:cs="宋体"/>
          <w:b/>
          <w:color w:val="auto"/>
          <w:sz w:val="24"/>
          <w:highlight w:val="none"/>
          <w:lang w:val="en-US" w:eastAsia="zh-CN"/>
        </w:rPr>
        <w:t>0</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（四）洪水历史数据入库</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全面、系统地自行收集与</w:t>
      </w:r>
      <w:r>
        <w:rPr>
          <w:rFonts w:hint="eastAsia" w:ascii="宋体" w:hAnsi="宋体" w:eastAsia="宋体" w:cs="宋体"/>
          <w:color w:val="auto"/>
          <w:sz w:val="24"/>
          <w:highlight w:val="none"/>
          <w:lang w:eastAsia="zh-CN"/>
        </w:rPr>
        <w:t>福建省内历史</w:t>
      </w:r>
      <w:r>
        <w:rPr>
          <w:rFonts w:ascii="宋体" w:hAnsi="宋体" w:eastAsia="宋体" w:cs="宋体"/>
          <w:color w:val="auto"/>
          <w:sz w:val="24"/>
          <w:highlight w:val="none"/>
        </w:rPr>
        <w:t>洪水相关的各类资料，为后续的数据处理和分析提供丰富、准确的数据基础。洪水相关的各类资料包括降雨分布、雨洪过程、灾情报告、复盘资料、调查成果、暴雨频率成果数据等。</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（1）洪水底板建设服务</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①洪水资料收集与梳理</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收集有记录洪水相关资料，包括降雨分布、雨洪过程、灾情报告、暴雨频率等，并进行系统梳理，明确数据来源、类型及业务含义。</w:t>
      </w:r>
      <w:r>
        <w:rPr>
          <w:rFonts w:ascii="宋体" w:hAnsi="宋体" w:eastAsia="宋体" w:cs="宋体"/>
          <w:b/>
          <w:bCs/>
          <w:color w:val="auto"/>
          <w:sz w:val="24"/>
          <w:highlight w:val="none"/>
        </w:rPr>
        <w:t>（评审项4</w:t>
      </w:r>
      <w:r>
        <w:rPr>
          <w:rFonts w:hint="eastAsia" w:ascii="宋体" w:hAnsi="宋体" w:eastAsia="宋体" w:cs="宋体"/>
          <w:b/>
          <w:bCs/>
          <w:color w:val="auto"/>
          <w:sz w:val="24"/>
          <w:highlight w:val="none"/>
          <w:lang w:val="en-US" w:eastAsia="zh-CN"/>
        </w:rPr>
        <w:t>1</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②纸质数据数字化</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对水库扩展资料、历史洪水库资料及洪水调查成果进行数字化处理，转换为电子化、标准化的数字格式，便于后续入库。</w:t>
      </w:r>
      <w:r>
        <w:rPr>
          <w:rFonts w:ascii="宋体" w:hAnsi="宋体" w:eastAsia="宋体" w:cs="宋体"/>
          <w:b/>
          <w:bCs/>
          <w:color w:val="auto"/>
          <w:sz w:val="24"/>
          <w:highlight w:val="none"/>
        </w:rPr>
        <w:t>（评审项</w:t>
      </w:r>
      <w:r>
        <w:rPr>
          <w:rFonts w:hint="eastAsia" w:ascii="宋体" w:hAnsi="宋体" w:eastAsia="宋体" w:cs="宋体"/>
          <w:b/>
          <w:bCs/>
          <w:color w:val="auto"/>
          <w:sz w:val="24"/>
          <w:highlight w:val="none"/>
          <w:lang w:val="en-US" w:eastAsia="zh-CN"/>
        </w:rPr>
        <w:t>42</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③数据建库与治理</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设计合理数据库结构，构建洪水资料数据库，确保可扩展性和兼容性；同时提供数据治理服务，包括数据表规范命名、数据补全、去重及格式转换。</w:t>
      </w:r>
      <w:r>
        <w:rPr>
          <w:rFonts w:ascii="宋体" w:hAnsi="宋体" w:eastAsia="宋体" w:cs="宋体"/>
          <w:b/>
          <w:bCs/>
          <w:color w:val="auto"/>
          <w:sz w:val="24"/>
          <w:highlight w:val="none"/>
        </w:rPr>
        <w:t>（评审项4</w:t>
      </w:r>
      <w:r>
        <w:rPr>
          <w:rFonts w:hint="eastAsia" w:ascii="宋体" w:hAnsi="宋体" w:eastAsia="宋体" w:cs="宋体"/>
          <w:b/>
          <w:bCs/>
          <w:color w:val="auto"/>
          <w:sz w:val="24"/>
          <w:highlight w:val="none"/>
          <w:lang w:val="en-US" w:eastAsia="zh-CN"/>
        </w:rPr>
        <w:t>3</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④洪水数据可视化</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提供水库扩展信息、历史洪水库信息及洪水调查成果的可视化服务，展示详细信息及调查现场照片等。投标人投标文件中须提供水库扩展信息、历史洪水库信息及洪水调查成果可视化设计截图。</w:t>
      </w:r>
      <w:r>
        <w:rPr>
          <w:rFonts w:ascii="宋体" w:hAnsi="宋体" w:eastAsia="宋体" w:cs="宋体"/>
          <w:b/>
          <w:bCs/>
          <w:color w:val="auto"/>
          <w:sz w:val="24"/>
          <w:highlight w:val="none"/>
        </w:rPr>
        <w:t>（评审项4</w:t>
      </w:r>
      <w:r>
        <w:rPr>
          <w:rFonts w:hint="eastAsia" w:ascii="宋体" w:hAnsi="宋体" w:eastAsia="宋体" w:cs="宋体"/>
          <w:b/>
          <w:bCs/>
          <w:color w:val="auto"/>
          <w:sz w:val="24"/>
          <w:highlight w:val="none"/>
          <w:lang w:val="en-US" w:eastAsia="zh-CN"/>
        </w:rPr>
        <w:t>4</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（2）洪水灾害多维度统计分析服务</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①雨水情统计分析</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提供超警洪水统计、江河洪水预测、径流分析、短历时暴雨站点统计、雨情统计、降雨量分析及雨情旬月报统计等服务，涵盖按站次、水系、站点、流域、行政区划等多维度分析。</w:t>
      </w:r>
      <w:r>
        <w:rPr>
          <w:rFonts w:ascii="宋体" w:hAnsi="宋体" w:eastAsia="宋体" w:cs="宋体"/>
          <w:b/>
          <w:bCs/>
          <w:color w:val="auto"/>
          <w:sz w:val="24"/>
          <w:highlight w:val="none"/>
        </w:rPr>
        <w:t>（评审项</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lang w:val="en-US" w:eastAsia="zh-CN"/>
        </w:rPr>
        <w:t>5</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②库情统计分析</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提供水库蓄水量统计分析，包括上月、去年、常年同期蓄量比对，以及大型、中型、小型水库纳雨能力分析。</w:t>
      </w:r>
      <w:r>
        <w:rPr>
          <w:rFonts w:ascii="宋体" w:hAnsi="宋体" w:eastAsia="宋体" w:cs="宋体"/>
          <w:b/>
          <w:bCs/>
          <w:color w:val="auto"/>
          <w:sz w:val="24"/>
          <w:highlight w:val="none"/>
        </w:rPr>
        <w:t>（评审项</w:t>
      </w:r>
      <w:r>
        <w:rPr>
          <w:rFonts w:hint="eastAsia" w:ascii="宋体" w:hAnsi="宋体" w:eastAsia="宋体" w:cs="宋体"/>
          <w:b/>
          <w:bCs/>
          <w:color w:val="auto"/>
          <w:sz w:val="24"/>
          <w:highlight w:val="none"/>
          <w:lang w:val="en-US" w:eastAsia="zh-CN"/>
        </w:rPr>
        <w:t>46</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③暴雨洪水综合统计分析</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综合统计暴雨洪水场次、超警站点及成因等信息。</w:t>
      </w:r>
      <w:r>
        <w:rPr>
          <w:rFonts w:ascii="宋体" w:hAnsi="宋体" w:eastAsia="宋体" w:cs="宋体"/>
          <w:b/>
          <w:bCs/>
          <w:color w:val="auto"/>
          <w:sz w:val="24"/>
          <w:highlight w:val="none"/>
        </w:rPr>
        <w:t>（评审项</w:t>
      </w:r>
      <w:r>
        <w:rPr>
          <w:rFonts w:hint="eastAsia" w:ascii="宋体" w:hAnsi="宋体" w:eastAsia="宋体" w:cs="宋体"/>
          <w:b/>
          <w:bCs/>
          <w:color w:val="auto"/>
          <w:sz w:val="24"/>
          <w:highlight w:val="none"/>
          <w:lang w:val="en-US" w:eastAsia="zh-CN"/>
        </w:rPr>
        <w:t>47</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④特征值统计分析</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提供水位流量及雨情特征值统计分析，包括年、月、旬、日极值统计，旬月平均值统计，雨量累计值统计及短历时最大降水量统计。</w:t>
      </w:r>
      <w:r>
        <w:rPr>
          <w:rFonts w:ascii="宋体" w:hAnsi="宋体" w:eastAsia="宋体" w:cs="宋体"/>
          <w:b/>
          <w:bCs/>
          <w:color w:val="auto"/>
          <w:sz w:val="24"/>
          <w:highlight w:val="none"/>
        </w:rPr>
        <w:t>（评审项</w:t>
      </w:r>
      <w:r>
        <w:rPr>
          <w:rFonts w:hint="eastAsia" w:ascii="宋体" w:hAnsi="宋体" w:eastAsia="宋体" w:cs="宋体"/>
          <w:b/>
          <w:bCs/>
          <w:color w:val="auto"/>
          <w:sz w:val="24"/>
          <w:highlight w:val="none"/>
          <w:lang w:val="en-US" w:eastAsia="zh-CN"/>
        </w:rPr>
        <w:t>48</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⑤暴雨频率分析</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基于历史暴雨数据，提供暴雨频率及重现期分析服务。</w:t>
      </w:r>
      <w:r>
        <w:rPr>
          <w:rFonts w:ascii="宋体" w:hAnsi="宋体" w:eastAsia="宋体" w:cs="宋体"/>
          <w:b/>
          <w:bCs/>
          <w:color w:val="auto"/>
          <w:sz w:val="24"/>
          <w:highlight w:val="none"/>
        </w:rPr>
        <w:t>（评审项</w:t>
      </w:r>
      <w:r>
        <w:rPr>
          <w:rFonts w:hint="eastAsia" w:ascii="宋体" w:hAnsi="宋体" w:eastAsia="宋体" w:cs="宋体"/>
          <w:b/>
          <w:bCs/>
          <w:color w:val="auto"/>
          <w:sz w:val="24"/>
          <w:highlight w:val="none"/>
          <w:lang w:val="en-US" w:eastAsia="zh-CN"/>
        </w:rPr>
        <w:t>49</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⑥报汛质量分析</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提供雨情、水情、库情及预报精度报汛质量统计分析，涵盖迟报、缺报、错报情况。</w:t>
      </w:r>
      <w:r>
        <w:rPr>
          <w:rFonts w:ascii="宋体" w:hAnsi="宋体" w:eastAsia="宋体" w:cs="宋体"/>
          <w:b/>
          <w:bCs/>
          <w:color w:val="auto"/>
          <w:sz w:val="24"/>
          <w:highlight w:val="none"/>
        </w:rPr>
        <w:t>（评审项5</w:t>
      </w:r>
      <w:r>
        <w:rPr>
          <w:rFonts w:hint="eastAsia" w:ascii="宋体" w:hAnsi="宋体" w:eastAsia="宋体" w:cs="宋体"/>
          <w:b/>
          <w:bCs/>
          <w:color w:val="auto"/>
          <w:sz w:val="24"/>
          <w:highlight w:val="none"/>
          <w:lang w:val="en-US" w:eastAsia="zh-CN"/>
        </w:rPr>
        <w:t>0</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（3）洪水灾害多维度统计分析可视化服务</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①提供水情、雨情、库情及暴雨洪水综合统计分析成果的可视化展示。投标人投标文件中须根据统计分析服务成果提供以上可视化设计截图。</w:t>
      </w:r>
      <w:r>
        <w:rPr>
          <w:rFonts w:ascii="宋体" w:hAnsi="宋体" w:eastAsia="宋体" w:cs="宋体"/>
          <w:b/>
          <w:bCs/>
          <w:color w:val="auto"/>
          <w:sz w:val="24"/>
          <w:highlight w:val="none"/>
        </w:rPr>
        <w:t>（评审项5</w:t>
      </w:r>
      <w:r>
        <w:rPr>
          <w:rFonts w:hint="eastAsia" w:ascii="宋体" w:hAnsi="宋体" w:eastAsia="宋体" w:cs="宋体"/>
          <w:b/>
          <w:bCs/>
          <w:color w:val="auto"/>
          <w:sz w:val="24"/>
          <w:highlight w:val="none"/>
          <w:lang w:val="en-US" w:eastAsia="zh-CN"/>
        </w:rPr>
        <w:t>1</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②提供水位流量及雨情特征值统计分析成果的可视化展示。投标人投标文件中须根据统计分析服务成果提供以上可视化设计截图。</w:t>
      </w:r>
      <w:r>
        <w:rPr>
          <w:rFonts w:ascii="宋体" w:hAnsi="宋体" w:eastAsia="宋体" w:cs="宋体"/>
          <w:b/>
          <w:bCs/>
          <w:color w:val="auto"/>
          <w:sz w:val="24"/>
          <w:highlight w:val="none"/>
        </w:rPr>
        <w:t>（评审项5</w:t>
      </w:r>
      <w:r>
        <w:rPr>
          <w:rFonts w:hint="eastAsia" w:ascii="宋体" w:hAnsi="宋体" w:eastAsia="宋体" w:cs="宋体"/>
          <w:b/>
          <w:bCs/>
          <w:color w:val="auto"/>
          <w:sz w:val="24"/>
          <w:highlight w:val="none"/>
          <w:lang w:val="en-US" w:eastAsia="zh-CN"/>
        </w:rPr>
        <w:t>2</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③提供暴雨频率及重现期分析成果的可视化展示。投标人投标文件中须根据统计分析服务成果提供以上可视化设计截图。</w:t>
      </w:r>
      <w:r>
        <w:rPr>
          <w:rFonts w:ascii="宋体" w:hAnsi="宋体" w:eastAsia="宋体" w:cs="宋体"/>
          <w:b/>
          <w:bCs/>
          <w:color w:val="auto"/>
          <w:sz w:val="24"/>
          <w:highlight w:val="none"/>
        </w:rPr>
        <w:t>（评审项5</w:t>
      </w:r>
      <w:r>
        <w:rPr>
          <w:rFonts w:hint="eastAsia" w:ascii="宋体" w:hAnsi="宋体" w:eastAsia="宋体" w:cs="宋体"/>
          <w:b/>
          <w:bCs/>
          <w:color w:val="auto"/>
          <w:sz w:val="24"/>
          <w:highlight w:val="none"/>
          <w:lang w:val="en-US" w:eastAsia="zh-CN"/>
        </w:rPr>
        <w:t>3</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④提供实时数据报汛质量及预报精度报汛质量统计分析成果的可视化展示。投标人投标文件中须根据统计分析服务成果提供以上可视化设计截图。</w:t>
      </w:r>
      <w:r>
        <w:rPr>
          <w:rFonts w:ascii="宋体" w:hAnsi="宋体" w:eastAsia="宋体" w:cs="宋体"/>
          <w:b/>
          <w:bCs/>
          <w:color w:val="auto"/>
          <w:sz w:val="24"/>
          <w:highlight w:val="none"/>
        </w:rPr>
        <w:t>（评审项5</w:t>
      </w:r>
      <w:r>
        <w:rPr>
          <w:rFonts w:hint="eastAsia" w:ascii="宋体" w:hAnsi="宋体" w:eastAsia="宋体" w:cs="宋体"/>
          <w:b/>
          <w:bCs/>
          <w:color w:val="auto"/>
          <w:sz w:val="24"/>
          <w:highlight w:val="none"/>
          <w:lang w:val="en-US" w:eastAsia="zh-CN"/>
        </w:rPr>
        <w:t>4</w:t>
      </w:r>
      <w:r>
        <w:rPr>
          <w:rFonts w:ascii="宋体" w:hAnsi="宋体" w:eastAsia="宋体" w:cs="宋体"/>
          <w:b/>
          <w:bCs/>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（4）防洪风险与雨量制图服务</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①基于观测站历史水位数据，划分预警等级，绘制防洪风险阶梯图，标注关键信息。投标人投标文件中须提供防洪风险阶梯图可视化设计截图。</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55</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b/>
          <w:color w:val="auto"/>
          <w:sz w:val="24"/>
          <w:highlight w:val="none"/>
        </w:rPr>
      </w:pPr>
      <w:r>
        <w:rPr>
          <w:rFonts w:ascii="宋体" w:hAnsi="宋体" w:eastAsia="宋体" w:cs="宋体"/>
          <w:color w:val="auto"/>
          <w:sz w:val="24"/>
          <w:highlight w:val="none"/>
        </w:rPr>
        <w:t>②收集雨量观测点数据，生成网格数据，绘制雨量等值线图与等值面图，并裁剪至特定区域边界。</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56</w:t>
      </w:r>
      <w:r>
        <w:rPr>
          <w:rFonts w:ascii="宋体" w:hAnsi="宋体" w:eastAsia="宋体" w:cs="宋体"/>
          <w:b/>
          <w:color w:val="auto"/>
          <w:sz w:val="24"/>
          <w:highlight w:val="none"/>
        </w:rPr>
        <w:t>）</w:t>
      </w:r>
    </w:p>
    <w:p>
      <w:pPr>
        <w:spacing w:line="50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③提供防洪风险阶梯图及雨量等值线面图的详细展示。</w:t>
      </w:r>
      <w:r>
        <w:rPr>
          <w:rFonts w:ascii="宋体" w:hAnsi="宋体" w:eastAsia="宋体" w:cs="宋体"/>
          <w:b/>
          <w:color w:val="auto"/>
          <w:sz w:val="24"/>
          <w:highlight w:val="none"/>
        </w:rPr>
        <w:t>（评审项</w:t>
      </w:r>
      <w:r>
        <w:rPr>
          <w:rFonts w:hint="eastAsia" w:ascii="宋体" w:hAnsi="宋体" w:eastAsia="宋体" w:cs="宋体"/>
          <w:b/>
          <w:color w:val="auto"/>
          <w:sz w:val="24"/>
          <w:highlight w:val="none"/>
          <w:lang w:val="en-US" w:eastAsia="zh-CN"/>
        </w:rPr>
        <w:t>57</w:t>
      </w:r>
      <w:r>
        <w:rPr>
          <w:rFonts w:ascii="宋体" w:hAnsi="宋体" w:eastAsia="宋体" w:cs="宋体"/>
          <w:b/>
          <w:color w:val="auto"/>
          <w:sz w:val="24"/>
          <w:highlight w:val="none"/>
        </w:rPr>
        <w:t>）</w:t>
      </w:r>
    </w:p>
    <w:p>
      <w:pPr>
        <w:spacing w:line="500" w:lineRule="exact"/>
        <w:ind w:firstLine="482" w:firstLineChars="200"/>
        <w:rPr>
          <w:rFonts w:ascii="宋体" w:hAnsi="宋体" w:eastAsia="宋体" w:cs="宋体"/>
          <w:b/>
          <w:bCs/>
          <w:color w:val="auto"/>
          <w:sz w:val="24"/>
          <w:highlight w:val="none"/>
        </w:rPr>
      </w:pPr>
      <w:r>
        <w:rPr>
          <w:rFonts w:ascii="宋体" w:hAnsi="宋体" w:eastAsia="宋体" w:cs="宋体"/>
          <w:b/>
          <w:bCs/>
          <w:color w:val="auto"/>
          <w:sz w:val="24"/>
          <w:highlight w:val="none"/>
        </w:rPr>
        <w:t>★（5）投标人承诺洪水历史数据入库需汇集至</w:t>
      </w:r>
      <w:r>
        <w:rPr>
          <w:rFonts w:hint="eastAsia" w:ascii="宋体" w:hAnsi="宋体" w:eastAsia="宋体" w:cs="宋体"/>
          <w:b/>
          <w:bCs/>
          <w:color w:val="auto"/>
          <w:sz w:val="24"/>
          <w:highlight w:val="none"/>
        </w:rPr>
        <w:t>采购方指定的业务系统</w:t>
      </w:r>
      <w:r>
        <w:rPr>
          <w:rFonts w:ascii="宋体" w:hAnsi="宋体" w:eastAsia="宋体" w:cs="宋体"/>
          <w:b/>
          <w:bCs/>
          <w:color w:val="auto"/>
          <w:sz w:val="24"/>
          <w:highlight w:val="none"/>
        </w:rPr>
        <w:t>数据库。投标人须提供承诺函（格式自拟）。</w:t>
      </w:r>
    </w:p>
    <w:p>
      <w:pPr>
        <w:spacing w:line="500" w:lineRule="exact"/>
        <w:ind w:firstLine="482" w:firstLineChars="200"/>
        <w:rPr>
          <w:rFonts w:ascii="宋体" w:hAnsi="宋体" w:eastAsia="宋体" w:cs="宋体"/>
          <w:b/>
          <w:bCs/>
          <w:color w:val="auto"/>
          <w:sz w:val="24"/>
          <w:highlight w:val="none"/>
        </w:rPr>
      </w:pPr>
      <w:r>
        <w:rPr>
          <w:rFonts w:ascii="宋体" w:hAnsi="宋体" w:eastAsia="宋体" w:cs="宋体"/>
          <w:b/>
          <w:bCs/>
          <w:color w:val="auto"/>
          <w:sz w:val="24"/>
          <w:highlight w:val="none"/>
        </w:rPr>
        <w:t>★（6）投标人承诺如果实施服务没有达到要求，并且没有在采购人规定时间内改善的，经采购人确认，有权中止合同，中标人根据合同进行赔偿。投标人须提供承诺函（格式自拟）。</w:t>
      </w:r>
    </w:p>
    <w:p>
      <w:pPr>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ascii="宋体" w:hAnsi="宋体" w:eastAsia="宋体" w:cs="宋体"/>
          <w:b/>
          <w:bCs/>
          <w:color w:val="auto"/>
          <w:sz w:val="24"/>
          <w:highlight w:val="none"/>
        </w:rPr>
        <w:t>（五）其他技术要求</w:t>
      </w:r>
    </w:p>
    <w:p>
      <w:pPr>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ascii="宋体" w:hAnsi="宋体" w:eastAsia="宋体" w:cs="宋体"/>
          <w:b/>
          <w:bCs/>
          <w:color w:val="auto"/>
          <w:sz w:val="24"/>
          <w:highlight w:val="none"/>
        </w:rPr>
        <w:t>平面坐标要求统一为2000国家大地坐标系（CGCS2000），高程要求统一为1985国家高程基准，满足数据整编及上图要求。</w:t>
      </w:r>
    </w:p>
    <w:p>
      <w:pPr>
        <w:spacing w:line="500" w:lineRule="exact"/>
        <w:ind w:firstLine="482" w:firstLineChars="200"/>
        <w:rPr>
          <w:rFonts w:hint="default" w:ascii="宋体" w:hAnsi="宋体" w:eastAsia="宋体" w:cs="宋体"/>
          <w:b/>
          <w:color w:val="auto"/>
          <w:sz w:val="24"/>
          <w:szCs w:val="24"/>
          <w:highlight w:val="none"/>
        </w:rPr>
      </w:pPr>
      <w:r>
        <w:rPr>
          <w:rFonts w:hint="eastAsia" w:ascii="宋体" w:hAnsi="宋体" w:eastAsia="宋体" w:cs="宋体"/>
          <w:b/>
          <w:bCs/>
          <w:color w:val="auto"/>
          <w:sz w:val="24"/>
          <w:highlight w:val="none"/>
        </w:rPr>
        <w:t>2、投标人所提供的服务达到文件规定的要求后，可进行项目验收。项目按采购人验收标准（符合国家或行业或地方标准）、招标文件、投标文件等有关内容进行验收。采购人与中标人按有关规定进行项目验收，在验收时所发生的一切费用均由中标人承担（并入投标报价内）。若验收不能符合要求，采购人将按合同商务条款的有关规定执行。</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b w:val="0"/>
          <w:bCs/>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b/>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三、商务要求</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以“★”标示的内容为不允许负偏离的实质性要求</w:t>
      </w:r>
      <w:r>
        <w:rPr>
          <w:rFonts w:hint="eastAsia" w:ascii="宋体" w:hAnsi="宋体" w:eastAsia="宋体" w:cs="宋体"/>
          <w:b/>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4"/>
        <w:gridCol w:w="1233"/>
        <w:gridCol w:w="1692"/>
        <w:gridCol w:w="56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66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参数性质</w:t>
            </w:r>
          </w:p>
        </w:tc>
        <w:tc>
          <w:tcPr>
            <w:tcW w:w="90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类型</w:t>
            </w:r>
          </w:p>
        </w:tc>
        <w:tc>
          <w:tcPr>
            <w:tcW w:w="304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66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w:t>
            </w:r>
          </w:p>
        </w:tc>
        <w:tc>
          <w:tcPr>
            <w:tcW w:w="90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交货时间</w:t>
            </w:r>
          </w:p>
        </w:tc>
        <w:tc>
          <w:tcPr>
            <w:tcW w:w="304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自合同签订之日起180天。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66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w:t>
            </w:r>
          </w:p>
        </w:tc>
        <w:tc>
          <w:tcPr>
            <w:tcW w:w="90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交货地点</w:t>
            </w:r>
          </w:p>
        </w:tc>
        <w:tc>
          <w:tcPr>
            <w:tcW w:w="304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福州市鼓楼区东大路229号。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66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w:t>
            </w:r>
          </w:p>
        </w:tc>
        <w:tc>
          <w:tcPr>
            <w:tcW w:w="90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交货条件</w:t>
            </w:r>
          </w:p>
        </w:tc>
        <w:tc>
          <w:tcPr>
            <w:tcW w:w="304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验收合格后交付。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66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w:t>
            </w:r>
          </w:p>
        </w:tc>
        <w:tc>
          <w:tcPr>
            <w:tcW w:w="90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是否邀请投标人验收</w:t>
            </w:r>
          </w:p>
        </w:tc>
        <w:tc>
          <w:tcPr>
            <w:tcW w:w="3042"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66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w:t>
            </w:r>
          </w:p>
        </w:tc>
        <w:tc>
          <w:tcPr>
            <w:tcW w:w="90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履约验收方式</w:t>
            </w:r>
          </w:p>
        </w:tc>
        <w:tc>
          <w:tcPr>
            <w:tcW w:w="5673" w:type="dxa"/>
            <w:vAlign w:val="center"/>
          </w:tcPr>
          <w:p>
            <w:pPr>
              <w:pStyle w:val="21"/>
              <w:widowControl w:val="0"/>
              <w:numPr>
                <w:ilvl w:val="0"/>
                <w:numId w:val="1"/>
              </w:numPr>
              <w:spacing w:line="5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期次1，说明：合同签订后120天内提交成果并通过省水文中心组织的初步验收。</w:t>
            </w:r>
          </w:p>
          <w:p>
            <w:pPr>
              <w:pStyle w:val="21"/>
              <w:widowControl w:val="0"/>
              <w:numPr>
                <w:ilvl w:val="0"/>
                <w:numId w:val="1"/>
              </w:numPr>
              <w:spacing w:line="5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期次2，说明：通过省水利厅组织的最终验收。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p>
        </w:tc>
        <w:tc>
          <w:tcPr>
            <w:tcW w:w="66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color w:val="auto"/>
                <w:sz w:val="24"/>
                <w:szCs w:val="24"/>
                <w:highlight w:val="none"/>
              </w:rPr>
              <w:t>★</w:t>
            </w:r>
          </w:p>
        </w:tc>
        <w:tc>
          <w:tcPr>
            <w:tcW w:w="90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合同支付方式</w:t>
            </w:r>
          </w:p>
        </w:tc>
        <w:tc>
          <w:tcPr>
            <w:tcW w:w="5673" w:type="dxa"/>
            <w:vAlign w:val="center"/>
          </w:tcPr>
          <w:p>
            <w:pPr>
              <w:pStyle w:val="21"/>
              <w:widowControl w:val="0"/>
              <w:numPr>
                <w:ilvl w:val="255"/>
                <w:numId w:val="0"/>
              </w:numPr>
              <w:spacing w:line="500" w:lineRule="exact"/>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1、合同签订后30日内，提交技术路线方案经评审后，达到付款条件起</w:t>
            </w:r>
            <w:r>
              <w:rPr>
                <w:rFonts w:ascii="宋体" w:hAnsi="宋体" w:eastAsia="宋体" w:cs="宋体"/>
                <w:color w:val="auto"/>
                <w:sz w:val="24"/>
                <w:szCs w:val="24"/>
                <w:highlight w:val="none"/>
                <w:u w:val="single"/>
                <w:lang w:eastAsia="zh-CN"/>
              </w:rPr>
              <w:t xml:space="preserve"> 20 </w:t>
            </w:r>
            <w:r>
              <w:rPr>
                <w:rFonts w:ascii="宋体" w:hAnsi="宋体" w:eastAsia="宋体" w:cs="宋体"/>
                <w:color w:val="auto"/>
                <w:sz w:val="24"/>
                <w:szCs w:val="24"/>
                <w:highlight w:val="none"/>
                <w:lang w:eastAsia="zh-CN"/>
              </w:rPr>
              <w:t>日内，支付合同总金额的</w:t>
            </w:r>
            <w:r>
              <w:rPr>
                <w:rFonts w:ascii="宋体" w:hAnsi="宋体" w:eastAsia="宋体" w:cs="宋体"/>
                <w:color w:val="auto"/>
                <w:sz w:val="24"/>
                <w:szCs w:val="24"/>
                <w:highlight w:val="none"/>
                <w:u w:val="single"/>
                <w:lang w:eastAsia="zh-CN"/>
              </w:rPr>
              <w:t xml:space="preserve"> 30 </w:t>
            </w:r>
            <w:r>
              <w:rPr>
                <w:rFonts w:ascii="宋体" w:hAnsi="宋体" w:eastAsia="宋体" w:cs="宋体"/>
                <w:color w:val="auto"/>
                <w:sz w:val="24"/>
                <w:szCs w:val="24"/>
                <w:highlight w:val="none"/>
                <w:lang w:eastAsia="zh-CN"/>
              </w:rPr>
              <w:t>％；</w:t>
            </w:r>
          </w:p>
          <w:p>
            <w:pPr>
              <w:pStyle w:val="21"/>
              <w:widowControl w:val="0"/>
              <w:spacing w:line="500" w:lineRule="exact"/>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2、项目通过省水文中心组织的</w:t>
            </w:r>
            <w:r>
              <w:rPr>
                <w:rFonts w:hint="eastAsia" w:ascii="宋体" w:hAnsi="宋体" w:eastAsia="宋体" w:cs="宋体"/>
                <w:color w:val="auto"/>
                <w:sz w:val="24"/>
                <w:szCs w:val="24"/>
                <w:highlight w:val="none"/>
                <w:lang w:val="en-US" w:eastAsia="zh-CN"/>
              </w:rPr>
              <w:t>初步验收</w:t>
            </w:r>
            <w:r>
              <w:rPr>
                <w:rFonts w:ascii="宋体" w:hAnsi="宋体" w:eastAsia="宋体" w:cs="宋体"/>
                <w:color w:val="auto"/>
                <w:sz w:val="24"/>
                <w:szCs w:val="24"/>
                <w:highlight w:val="none"/>
                <w:lang w:eastAsia="zh-CN"/>
              </w:rPr>
              <w:t>后30日内，达到付款条件起</w:t>
            </w:r>
            <w:r>
              <w:rPr>
                <w:rFonts w:ascii="宋体" w:hAnsi="宋体" w:eastAsia="宋体" w:cs="宋体"/>
                <w:color w:val="auto"/>
                <w:sz w:val="24"/>
                <w:szCs w:val="24"/>
                <w:highlight w:val="none"/>
                <w:u w:val="single"/>
                <w:lang w:eastAsia="zh-CN"/>
              </w:rPr>
              <w:t xml:space="preserve"> 20 </w:t>
            </w:r>
            <w:r>
              <w:rPr>
                <w:rFonts w:ascii="宋体" w:hAnsi="宋体" w:eastAsia="宋体" w:cs="宋体"/>
                <w:color w:val="auto"/>
                <w:sz w:val="24"/>
                <w:szCs w:val="24"/>
                <w:highlight w:val="none"/>
                <w:lang w:eastAsia="zh-CN"/>
              </w:rPr>
              <w:t>日内，支付合同总金额的</w:t>
            </w:r>
            <w:r>
              <w:rPr>
                <w:rFonts w:ascii="宋体" w:hAnsi="宋体" w:eastAsia="宋体" w:cs="宋体"/>
                <w:color w:val="auto"/>
                <w:sz w:val="24"/>
                <w:szCs w:val="24"/>
                <w:highlight w:val="none"/>
                <w:u w:val="single"/>
                <w:lang w:eastAsia="zh-CN"/>
              </w:rPr>
              <w:t xml:space="preserve"> 50 </w:t>
            </w:r>
            <w:r>
              <w:rPr>
                <w:rFonts w:ascii="宋体" w:hAnsi="宋体" w:eastAsia="宋体" w:cs="宋体"/>
                <w:color w:val="auto"/>
                <w:sz w:val="24"/>
                <w:szCs w:val="24"/>
                <w:highlight w:val="none"/>
                <w:lang w:eastAsia="zh-CN"/>
              </w:rPr>
              <w:t>％；</w:t>
            </w:r>
          </w:p>
          <w:p>
            <w:pPr>
              <w:pStyle w:val="21"/>
              <w:widowControl w:val="0"/>
              <w:spacing w:line="500" w:lineRule="exact"/>
              <w:jc w:val="both"/>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eastAsia="zh-CN"/>
              </w:rPr>
              <w:t>3、项目</w:t>
            </w:r>
            <w:r>
              <w:rPr>
                <w:rFonts w:hint="eastAsia" w:ascii="宋体" w:hAnsi="宋体" w:eastAsia="宋体" w:cs="宋体"/>
                <w:color w:val="auto"/>
                <w:sz w:val="24"/>
                <w:szCs w:val="24"/>
                <w:highlight w:val="none"/>
                <w:lang w:val="en-US" w:eastAsia="zh-CN"/>
              </w:rPr>
              <w:t>通过省水利厅组织的最终验收</w:t>
            </w:r>
            <w:r>
              <w:rPr>
                <w:rFonts w:ascii="宋体" w:hAnsi="宋体" w:eastAsia="宋体" w:cs="宋体"/>
                <w:color w:val="auto"/>
                <w:sz w:val="24"/>
                <w:szCs w:val="24"/>
                <w:highlight w:val="none"/>
                <w:lang w:eastAsia="zh-CN"/>
              </w:rPr>
              <w:t>后30日内，达到付款条件起</w:t>
            </w:r>
            <w:r>
              <w:rPr>
                <w:rFonts w:ascii="宋体" w:hAnsi="宋体" w:eastAsia="宋体" w:cs="宋体"/>
                <w:color w:val="auto"/>
                <w:sz w:val="24"/>
                <w:szCs w:val="24"/>
                <w:highlight w:val="none"/>
                <w:u w:val="single"/>
                <w:lang w:eastAsia="zh-CN"/>
              </w:rPr>
              <w:t xml:space="preserve"> 20 </w:t>
            </w:r>
            <w:r>
              <w:rPr>
                <w:rFonts w:ascii="宋体" w:hAnsi="宋体" w:eastAsia="宋体" w:cs="宋体"/>
                <w:color w:val="auto"/>
                <w:sz w:val="24"/>
                <w:szCs w:val="24"/>
                <w:highlight w:val="none"/>
                <w:lang w:eastAsia="zh-CN"/>
              </w:rPr>
              <w:t>日内，支付合同总金额的</w:t>
            </w:r>
            <w:r>
              <w:rPr>
                <w:rFonts w:ascii="宋体" w:hAnsi="宋体" w:eastAsia="宋体" w:cs="宋体"/>
                <w:color w:val="auto"/>
                <w:sz w:val="24"/>
                <w:szCs w:val="24"/>
                <w:highlight w:val="none"/>
                <w:u w:val="single"/>
                <w:lang w:eastAsia="zh-CN"/>
              </w:rPr>
              <w:t xml:space="preserve"> 20 </w:t>
            </w:r>
            <w:r>
              <w:rPr>
                <w:rFonts w:ascii="宋体" w:hAnsi="宋体" w:eastAsia="宋体" w:cs="宋体"/>
                <w:color w:val="auto"/>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388"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7</w:t>
            </w:r>
          </w:p>
        </w:tc>
        <w:tc>
          <w:tcPr>
            <w:tcW w:w="661"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907" w:type="pct"/>
            <w:vAlign w:val="center"/>
          </w:tcPr>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val="0"/>
                <w:bCs/>
                <w:color w:val="auto"/>
                <w:sz w:val="24"/>
                <w:szCs w:val="24"/>
                <w:highlight w:val="none"/>
                <w:lang w:val="en-US" w:eastAsia="zh-CN"/>
              </w:rPr>
              <w:t>履约保证金</w:t>
            </w:r>
          </w:p>
        </w:tc>
        <w:tc>
          <w:tcPr>
            <w:tcW w:w="5673" w:type="dxa"/>
            <w:vAlign w:val="center"/>
          </w:tcPr>
          <w:p>
            <w:pPr>
              <w:pStyle w:val="21"/>
              <w:widowControl w:val="0"/>
              <w:spacing w:line="500" w:lineRule="exact"/>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缴纳，本采购包履约保证金为合同金额的5</w:t>
            </w:r>
            <w:r>
              <w:rPr>
                <w:rFonts w:ascii="宋体" w:hAnsi="宋体" w:eastAsia="宋体" w:cs="宋体"/>
                <w:bCs/>
                <w:color w:val="auto"/>
                <w:sz w:val="24"/>
                <w:szCs w:val="24"/>
                <w:highlight w:val="none"/>
              </w:rPr>
              <w:t>％</w:t>
            </w:r>
            <w:r>
              <w:rPr>
                <w:rFonts w:ascii="宋体" w:hAnsi="宋体" w:eastAsia="宋体" w:cs="宋体"/>
                <w:bCs/>
                <w:color w:val="auto"/>
                <w:sz w:val="24"/>
                <w:szCs w:val="24"/>
                <w:highlight w:val="none"/>
                <w:lang w:eastAsia="zh-CN"/>
              </w:rPr>
              <w:t>。</w:t>
            </w:r>
          </w:p>
          <w:p>
            <w:pPr>
              <w:pStyle w:val="21"/>
              <w:widowControl w:val="0"/>
              <w:spacing w:line="500" w:lineRule="exact"/>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 xml:space="preserve">缴纳方式：银行转账，支票/汇票/本票，保函/保险。 </w:t>
            </w:r>
          </w:p>
          <w:p>
            <w:pPr>
              <w:pStyle w:val="21"/>
              <w:widowControl w:val="0"/>
              <w:spacing w:line="500" w:lineRule="exact"/>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说明：</w:t>
            </w:r>
          </w:p>
          <w:p>
            <w:pPr>
              <w:pStyle w:val="21"/>
              <w:widowControl w:val="0"/>
              <w:spacing w:line="500" w:lineRule="exact"/>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1、履约保证金</w:t>
            </w:r>
            <w:r>
              <w:rPr>
                <w:rFonts w:ascii="宋体" w:hAnsi="宋体" w:eastAsia="宋体" w:cs="宋体"/>
                <w:bCs/>
                <w:color w:val="auto"/>
                <w:sz w:val="24"/>
                <w:szCs w:val="24"/>
                <w:highlight w:val="none"/>
              </w:rPr>
              <w:t>期限：自</w:t>
            </w:r>
            <w:r>
              <w:rPr>
                <w:rFonts w:ascii="宋体" w:hAnsi="宋体" w:eastAsia="宋体" w:cs="宋体"/>
                <w:bCs/>
                <w:color w:val="auto"/>
                <w:sz w:val="24"/>
                <w:szCs w:val="24"/>
                <w:highlight w:val="none"/>
                <w:lang w:eastAsia="zh-CN"/>
              </w:rPr>
              <w:t>中标人</w:t>
            </w:r>
            <w:r>
              <w:rPr>
                <w:rFonts w:ascii="宋体" w:hAnsi="宋体" w:eastAsia="宋体" w:cs="宋体"/>
                <w:bCs/>
                <w:color w:val="auto"/>
                <w:sz w:val="24"/>
                <w:szCs w:val="24"/>
                <w:highlight w:val="none"/>
              </w:rPr>
              <w:t>与</w:t>
            </w:r>
            <w:r>
              <w:rPr>
                <w:rFonts w:ascii="宋体" w:hAnsi="宋体" w:eastAsia="宋体" w:cs="宋体"/>
                <w:bCs/>
                <w:color w:val="auto"/>
                <w:sz w:val="24"/>
                <w:szCs w:val="24"/>
                <w:highlight w:val="none"/>
                <w:lang w:eastAsia="zh-CN"/>
              </w:rPr>
              <w:t>采购</w:t>
            </w:r>
            <w:r>
              <w:rPr>
                <w:rFonts w:ascii="宋体" w:hAnsi="宋体" w:eastAsia="宋体" w:cs="宋体"/>
                <w:bCs/>
                <w:color w:val="auto"/>
                <w:sz w:val="24"/>
                <w:szCs w:val="24"/>
                <w:highlight w:val="none"/>
              </w:rPr>
              <w:t>人签订的合同生效之日起至</w:t>
            </w:r>
            <w:r>
              <w:rPr>
                <w:rFonts w:ascii="宋体" w:hAnsi="宋体" w:eastAsia="宋体" w:cs="宋体"/>
                <w:bCs/>
                <w:color w:val="auto"/>
                <w:sz w:val="24"/>
                <w:szCs w:val="24"/>
                <w:highlight w:val="none"/>
                <w:lang w:eastAsia="zh-CN"/>
              </w:rPr>
              <w:t>采购</w:t>
            </w:r>
            <w:r>
              <w:rPr>
                <w:rFonts w:ascii="宋体" w:hAnsi="宋体" w:eastAsia="宋体" w:cs="宋体"/>
                <w:bCs/>
                <w:color w:val="auto"/>
                <w:sz w:val="24"/>
                <w:szCs w:val="24"/>
                <w:highlight w:val="none"/>
              </w:rPr>
              <w:t>合同约定的</w:t>
            </w:r>
            <w:r>
              <w:rPr>
                <w:rFonts w:ascii="宋体" w:hAnsi="宋体" w:eastAsia="宋体" w:cs="宋体"/>
                <w:bCs/>
                <w:color w:val="auto"/>
                <w:sz w:val="24"/>
                <w:szCs w:val="24"/>
                <w:highlight w:val="none"/>
                <w:lang w:eastAsia="zh-CN"/>
              </w:rPr>
              <w:t>结束</w:t>
            </w:r>
            <w:r>
              <w:rPr>
                <w:rFonts w:ascii="宋体" w:hAnsi="宋体" w:eastAsia="宋体" w:cs="宋体"/>
                <w:bCs/>
                <w:color w:val="auto"/>
                <w:sz w:val="24"/>
                <w:szCs w:val="24"/>
                <w:highlight w:val="none"/>
              </w:rPr>
              <w:t>之日后</w:t>
            </w:r>
            <w:r>
              <w:rPr>
                <w:rFonts w:hint="eastAsia" w:ascii="宋体" w:hAnsi="宋体" w:eastAsia="宋体" w:cs="宋体"/>
                <w:bCs/>
                <w:color w:val="auto"/>
                <w:sz w:val="24"/>
                <w:szCs w:val="24"/>
                <w:highlight w:val="none"/>
                <w:lang w:eastAsia="zh-CN"/>
              </w:rPr>
              <w:t>两个汛期</w:t>
            </w:r>
            <w:r>
              <w:rPr>
                <w:rFonts w:ascii="宋体" w:hAnsi="宋体" w:eastAsia="宋体" w:cs="宋体"/>
                <w:bCs/>
                <w:color w:val="auto"/>
                <w:sz w:val="24"/>
                <w:szCs w:val="24"/>
                <w:highlight w:val="none"/>
              </w:rPr>
              <w:t>止</w:t>
            </w:r>
            <w:r>
              <w:rPr>
                <w:rFonts w:ascii="宋体" w:hAnsi="宋体" w:eastAsia="宋体" w:cs="宋体"/>
                <w:bCs/>
                <w:color w:val="auto"/>
                <w:sz w:val="24"/>
                <w:szCs w:val="24"/>
                <w:highlight w:val="none"/>
                <w:lang w:eastAsia="zh-CN"/>
              </w:rPr>
              <w:t>。</w:t>
            </w:r>
          </w:p>
          <w:p>
            <w:pPr>
              <w:pStyle w:val="21"/>
              <w:widowControl w:val="0"/>
              <w:spacing w:line="500" w:lineRule="exact"/>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lang w:eastAsia="zh-CN"/>
              </w:rPr>
              <w:t>2、履约保证金</w:t>
            </w:r>
            <w:r>
              <w:rPr>
                <w:rFonts w:ascii="宋体" w:hAnsi="宋体" w:eastAsia="宋体" w:cs="宋体"/>
                <w:bCs/>
                <w:color w:val="auto"/>
                <w:sz w:val="24"/>
                <w:szCs w:val="24"/>
                <w:highlight w:val="none"/>
              </w:rPr>
              <w:t>提交时间：</w:t>
            </w:r>
            <w:r>
              <w:rPr>
                <w:rFonts w:ascii="宋体" w:hAnsi="宋体" w:eastAsia="宋体" w:cs="宋体"/>
                <w:bCs/>
                <w:color w:val="auto"/>
                <w:sz w:val="24"/>
                <w:szCs w:val="24"/>
                <w:highlight w:val="none"/>
                <w:lang w:eastAsia="zh-CN"/>
              </w:rPr>
              <w:t>采购</w:t>
            </w:r>
            <w:r>
              <w:rPr>
                <w:rFonts w:ascii="宋体" w:hAnsi="宋体" w:eastAsia="宋体" w:cs="宋体"/>
                <w:bCs/>
                <w:color w:val="auto"/>
                <w:sz w:val="24"/>
                <w:szCs w:val="24"/>
                <w:highlight w:val="none"/>
              </w:rPr>
              <w:t>合同</w:t>
            </w:r>
            <w:r>
              <w:rPr>
                <w:rFonts w:ascii="宋体" w:hAnsi="宋体" w:eastAsia="宋体" w:cs="宋体"/>
                <w:bCs/>
                <w:color w:val="auto"/>
                <w:sz w:val="24"/>
                <w:szCs w:val="24"/>
                <w:highlight w:val="none"/>
                <w:lang w:eastAsia="zh-CN"/>
              </w:rPr>
              <w:t>签订后，在第一笔</w:t>
            </w:r>
            <w:r>
              <w:rPr>
                <w:rFonts w:hint="eastAsia" w:ascii="宋体" w:hAnsi="宋体" w:eastAsia="宋体" w:cs="宋体"/>
                <w:bCs/>
                <w:color w:val="auto"/>
                <w:sz w:val="24"/>
                <w:szCs w:val="24"/>
                <w:highlight w:val="none"/>
                <w:lang w:eastAsia="zh-CN"/>
              </w:rPr>
              <w:t>合同</w:t>
            </w:r>
            <w:r>
              <w:rPr>
                <w:rFonts w:ascii="宋体" w:hAnsi="宋体" w:eastAsia="宋体" w:cs="宋体"/>
                <w:bCs/>
                <w:color w:val="auto"/>
                <w:sz w:val="24"/>
                <w:szCs w:val="24"/>
                <w:highlight w:val="none"/>
                <w:lang w:eastAsia="zh-CN"/>
              </w:rPr>
              <w:t>款支付前</w:t>
            </w:r>
            <w:r>
              <w:rPr>
                <w:rFonts w:ascii="宋体" w:hAnsi="宋体" w:eastAsia="宋体" w:cs="宋体"/>
                <w:bCs/>
                <w:color w:val="auto"/>
                <w:sz w:val="24"/>
                <w:szCs w:val="24"/>
                <w:highlight w:val="none"/>
              </w:rPr>
              <w:t>。</w:t>
            </w:r>
          </w:p>
          <w:p>
            <w:pPr>
              <w:spacing w:line="5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3、履约保证金退还：履约保证金期限结束且经采购人确认中标人不存在任何违约行为后，由采购人无息返还。</w:t>
            </w:r>
          </w:p>
        </w:tc>
      </w:tr>
    </w:tbl>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其他商务要求</w:t>
      </w:r>
      <w:r>
        <w:rPr>
          <w:rFonts w:hint="eastAsia" w:ascii="宋体" w:hAnsi="宋体" w:eastAsia="宋体" w:cs="宋体"/>
          <w:b/>
          <w:color w:val="auto"/>
          <w:sz w:val="24"/>
          <w:szCs w:val="24"/>
          <w:highlight w:val="none"/>
          <w:lang w:eastAsia="zh-CN"/>
        </w:rPr>
        <w:t>：</w:t>
      </w:r>
    </w:p>
    <w:p>
      <w:pPr>
        <w:pStyle w:val="21"/>
        <w:widowControl w:val="0"/>
        <w:spacing w:line="500" w:lineRule="exact"/>
        <w:ind w:firstLine="241" w:firstLineChars="100"/>
        <w:jc w:val="both"/>
        <w:rPr>
          <w:rFonts w:hint="default"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w:t>
      </w:r>
      <w:r>
        <w:rPr>
          <w:rFonts w:ascii="宋体" w:hAnsi="宋体" w:eastAsia="宋体" w:cs="宋体"/>
          <w:b/>
          <w:bCs w:val="0"/>
          <w:color w:val="auto"/>
          <w:sz w:val="24"/>
          <w:szCs w:val="24"/>
          <w:highlight w:val="none"/>
        </w:rPr>
        <w:t>8、违约责任</w:t>
      </w:r>
    </w:p>
    <w:p>
      <w:pPr>
        <w:pStyle w:val="21"/>
        <w:widowControl w:val="0"/>
        <w:spacing w:line="500" w:lineRule="exact"/>
        <w:ind w:firstLine="482" w:firstLineChars="200"/>
        <w:jc w:val="both"/>
        <w:rPr>
          <w:rFonts w:hint="default" w:ascii="宋体" w:hAnsi="宋体" w:eastAsia="宋体" w:cs="宋体"/>
          <w:b/>
          <w:bCs w:val="0"/>
          <w:color w:val="auto"/>
          <w:sz w:val="24"/>
          <w:szCs w:val="24"/>
          <w:highlight w:val="none"/>
          <w:lang w:eastAsia="zh-CN"/>
        </w:rPr>
      </w:pPr>
      <w:r>
        <w:rPr>
          <w:rFonts w:ascii="宋体" w:hAnsi="宋体" w:eastAsia="宋体" w:cs="宋体"/>
          <w:b/>
          <w:bCs w:val="0"/>
          <w:color w:val="auto"/>
          <w:sz w:val="24"/>
          <w:szCs w:val="24"/>
          <w:highlight w:val="none"/>
          <w:lang w:eastAsia="zh-CN"/>
        </w:rPr>
        <w:t>8.1 合同签订后，中标人应按采购人要求合同签订后在20个工作日内提交项目技术路线方案，并通过评审。若未通过评审，中标人应在10日内根据评审意见完成整改并重新提交评审，累计整改两次仍未通过的，采购人有权解除合同。</w:t>
      </w:r>
    </w:p>
    <w:p>
      <w:pPr>
        <w:pStyle w:val="21"/>
        <w:widowControl w:val="0"/>
        <w:spacing w:line="500" w:lineRule="exact"/>
        <w:ind w:firstLine="482" w:firstLineChars="200"/>
        <w:jc w:val="both"/>
        <w:rPr>
          <w:rFonts w:hint="default" w:ascii="宋体" w:hAnsi="宋体" w:eastAsia="宋体" w:cs="宋体"/>
          <w:b/>
          <w:bCs w:val="0"/>
          <w:color w:val="auto"/>
          <w:sz w:val="24"/>
          <w:szCs w:val="24"/>
          <w:highlight w:val="none"/>
          <w:lang w:eastAsia="zh-CN"/>
        </w:rPr>
      </w:pPr>
      <w:r>
        <w:rPr>
          <w:rFonts w:ascii="宋体" w:hAnsi="宋体" w:eastAsia="宋体" w:cs="宋体"/>
          <w:b/>
          <w:bCs w:val="0"/>
          <w:color w:val="auto"/>
          <w:sz w:val="24"/>
          <w:szCs w:val="24"/>
          <w:highlight w:val="none"/>
          <w:lang w:eastAsia="zh-CN"/>
        </w:rPr>
        <w:t>8.2 若未在约定期限内通过初验，中标人应在</w:t>
      </w:r>
      <w:r>
        <w:rPr>
          <w:rFonts w:hint="default" w:ascii="宋体" w:hAnsi="宋体" w:eastAsia="宋体" w:cs="宋体"/>
          <w:b/>
          <w:bCs w:val="0"/>
          <w:color w:val="auto"/>
          <w:sz w:val="24"/>
          <w:szCs w:val="24"/>
          <w:highlight w:val="none"/>
          <w:lang w:eastAsia="zh-CN"/>
        </w:rPr>
        <w:t>15</w:t>
      </w:r>
      <w:r>
        <w:rPr>
          <w:rFonts w:ascii="宋体" w:hAnsi="宋体" w:eastAsia="宋体" w:cs="宋体"/>
          <w:b/>
          <w:bCs w:val="0"/>
          <w:color w:val="auto"/>
          <w:sz w:val="24"/>
          <w:szCs w:val="24"/>
          <w:highlight w:val="none"/>
          <w:lang w:eastAsia="zh-CN"/>
        </w:rPr>
        <w:t>日内完成整改并重新提交成果再次进行初步验收。若仍未通过，采购人有权解除合同，中标人应向采购人支付合同总金额20％的违约金，并承担由此给采购人造成的全部损失。</w:t>
      </w:r>
    </w:p>
    <w:p>
      <w:pPr>
        <w:pStyle w:val="21"/>
        <w:widowControl w:val="0"/>
        <w:spacing w:line="500" w:lineRule="exact"/>
        <w:ind w:firstLine="482" w:firstLineChars="200"/>
        <w:jc w:val="both"/>
        <w:rPr>
          <w:rFonts w:hint="default" w:ascii="宋体" w:hAnsi="宋体" w:eastAsia="宋体" w:cs="宋体"/>
          <w:b/>
          <w:bCs w:val="0"/>
          <w:color w:val="auto"/>
          <w:sz w:val="24"/>
          <w:szCs w:val="24"/>
          <w:highlight w:val="none"/>
          <w:lang w:eastAsia="zh-CN"/>
        </w:rPr>
      </w:pPr>
      <w:r>
        <w:rPr>
          <w:rFonts w:ascii="宋体" w:hAnsi="宋体" w:eastAsia="宋体" w:cs="宋体"/>
          <w:b/>
          <w:bCs w:val="0"/>
          <w:color w:val="auto"/>
          <w:sz w:val="24"/>
          <w:szCs w:val="24"/>
          <w:highlight w:val="none"/>
          <w:lang w:eastAsia="zh-CN"/>
        </w:rPr>
        <w:t>8.</w:t>
      </w:r>
      <w:r>
        <w:rPr>
          <w:rFonts w:hint="default" w:ascii="宋体" w:hAnsi="宋体" w:eastAsia="宋体" w:cs="宋体"/>
          <w:b/>
          <w:bCs w:val="0"/>
          <w:color w:val="auto"/>
          <w:sz w:val="24"/>
          <w:szCs w:val="24"/>
          <w:highlight w:val="none"/>
          <w:lang w:eastAsia="zh-CN"/>
        </w:rPr>
        <w:t>3</w:t>
      </w:r>
      <w:r>
        <w:rPr>
          <w:rFonts w:ascii="宋体" w:hAnsi="宋体" w:eastAsia="宋体" w:cs="宋体"/>
          <w:b/>
          <w:bCs w:val="0"/>
          <w:color w:val="auto"/>
          <w:sz w:val="24"/>
          <w:szCs w:val="24"/>
          <w:highlight w:val="none"/>
          <w:lang w:eastAsia="zh-CN"/>
        </w:rPr>
        <w:t xml:space="preserve"> 中标人无正当理由逾期交付，每延期一日，中标人应以合同总价的0.5％向采购人支付违约金，由采购人从待付合同款中扣除，逾期违约金最高不超过合同总金额的</w:t>
      </w:r>
      <w:r>
        <w:rPr>
          <w:rFonts w:hint="default" w:ascii="宋体" w:hAnsi="宋体" w:eastAsia="宋体" w:cs="宋体"/>
          <w:b/>
          <w:bCs w:val="0"/>
          <w:color w:val="auto"/>
          <w:sz w:val="24"/>
          <w:szCs w:val="24"/>
          <w:highlight w:val="none"/>
          <w:lang w:eastAsia="zh-CN"/>
        </w:rPr>
        <w:t>10</w:t>
      </w:r>
      <w:r>
        <w:rPr>
          <w:rFonts w:ascii="宋体" w:hAnsi="宋体" w:eastAsia="宋体" w:cs="宋体"/>
          <w:b/>
          <w:bCs w:val="0"/>
          <w:color w:val="auto"/>
          <w:sz w:val="24"/>
          <w:szCs w:val="24"/>
          <w:highlight w:val="none"/>
          <w:lang w:eastAsia="zh-CN"/>
        </w:rPr>
        <w:t>％。当逾期达到3</w:t>
      </w:r>
      <w:r>
        <w:rPr>
          <w:rFonts w:hint="default" w:ascii="宋体" w:hAnsi="宋体" w:eastAsia="宋体" w:cs="宋体"/>
          <w:b/>
          <w:bCs w:val="0"/>
          <w:color w:val="auto"/>
          <w:sz w:val="24"/>
          <w:szCs w:val="24"/>
          <w:highlight w:val="none"/>
          <w:lang w:eastAsia="zh-CN"/>
        </w:rPr>
        <w:t>0</w:t>
      </w:r>
      <w:r>
        <w:rPr>
          <w:rFonts w:ascii="宋体" w:hAnsi="宋体" w:eastAsia="宋体" w:cs="宋体"/>
          <w:b/>
          <w:bCs w:val="0"/>
          <w:color w:val="auto"/>
          <w:sz w:val="24"/>
          <w:szCs w:val="24"/>
          <w:highlight w:val="none"/>
          <w:lang w:eastAsia="zh-CN"/>
        </w:rPr>
        <w:t>日时，采购人有权解除合同、拒付未付款项，并没收履约保证金。</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b/>
          <w:bCs w:val="0"/>
          <w:color w:val="auto"/>
          <w:sz w:val="24"/>
          <w:szCs w:val="24"/>
          <w:highlight w:val="none"/>
        </w:rPr>
      </w:pPr>
      <w:r>
        <w:rPr>
          <w:rFonts w:ascii="宋体" w:hAnsi="宋体" w:eastAsia="宋体" w:cs="宋体"/>
          <w:b/>
          <w:bCs w:val="0"/>
          <w:color w:val="auto"/>
          <w:sz w:val="24"/>
          <w:szCs w:val="24"/>
          <w:highlight w:val="none"/>
          <w:lang w:eastAsia="zh-CN"/>
        </w:rPr>
        <w:t>8</w:t>
      </w:r>
      <w:r>
        <w:rPr>
          <w:rFonts w:hint="default" w:ascii="宋体" w:hAnsi="宋体" w:eastAsia="宋体" w:cs="宋体"/>
          <w:b/>
          <w:bCs w:val="0"/>
          <w:color w:val="auto"/>
          <w:sz w:val="24"/>
          <w:szCs w:val="24"/>
          <w:highlight w:val="none"/>
          <w:lang w:eastAsia="zh-CN"/>
        </w:rPr>
        <w:t xml:space="preserve">.4 </w:t>
      </w:r>
      <w:r>
        <w:rPr>
          <w:rFonts w:ascii="宋体" w:hAnsi="宋体" w:eastAsia="宋体" w:cs="宋体"/>
          <w:b/>
          <w:bCs w:val="0"/>
          <w:color w:val="auto"/>
          <w:sz w:val="24"/>
          <w:szCs w:val="24"/>
          <w:highlight w:val="none"/>
          <w:lang w:eastAsia="zh-CN"/>
        </w:rPr>
        <w:t>若未通过终验，中标人应在</w:t>
      </w:r>
      <w:r>
        <w:rPr>
          <w:rFonts w:hint="default" w:ascii="宋体" w:hAnsi="宋体" w:eastAsia="宋体" w:cs="宋体"/>
          <w:b/>
          <w:bCs w:val="0"/>
          <w:color w:val="auto"/>
          <w:sz w:val="24"/>
          <w:szCs w:val="24"/>
          <w:highlight w:val="none"/>
          <w:lang w:eastAsia="zh-CN"/>
        </w:rPr>
        <w:t>15</w:t>
      </w:r>
      <w:r>
        <w:rPr>
          <w:rFonts w:ascii="宋体" w:hAnsi="宋体" w:eastAsia="宋体" w:cs="宋体"/>
          <w:b/>
          <w:bCs w:val="0"/>
          <w:color w:val="auto"/>
          <w:sz w:val="24"/>
          <w:szCs w:val="24"/>
          <w:highlight w:val="none"/>
          <w:lang w:eastAsia="zh-CN"/>
        </w:rPr>
        <w:t>日内完成整改并重新提交成果再次进行终验。若仍未通过，采购人有权解除合同，中标人应向采购人支付合同总金额20％的违约金，并承担由此给采购人造成的全部损失。</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bCs w:val="0"/>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四、其他事项</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1、除</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另有规定外，若出现有关法律、法规和规章有强制性规定但</w:t>
      </w: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未列明的情形，则</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应按照有关法律、法规和规章强制性规定执行。</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2、其他：</w:t>
      </w:r>
    </w:p>
    <w:p>
      <w:pPr>
        <w:pStyle w:val="14"/>
        <w:keepNext w:val="0"/>
        <w:keepLines w:val="0"/>
        <w:pageBreakBefore w:val="0"/>
        <w:widowControl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2.1</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本</w:t>
      </w:r>
      <w:r>
        <w:rPr>
          <w:rFonts w:hint="eastAsia" w:ascii="宋体" w:hAnsi="宋体" w:eastAsia="宋体" w:cs="宋体"/>
          <w:b w:val="0"/>
          <w:bCs/>
          <w:color w:val="auto"/>
          <w:highlight w:val="none"/>
          <w:lang w:val="en-US" w:eastAsia="zh-CN"/>
        </w:rPr>
        <w:t>招标文件</w:t>
      </w:r>
      <w:r>
        <w:rPr>
          <w:rFonts w:hint="eastAsia" w:ascii="宋体" w:hAnsi="宋体" w:eastAsia="宋体" w:cs="宋体"/>
          <w:b w:val="0"/>
          <w:bCs/>
          <w:color w:val="auto"/>
          <w:highlight w:val="none"/>
        </w:rPr>
        <w:t>未明确的其它约定事项或条款，待采购人与中标人签订合同时，由双方协商订立。</w:t>
      </w:r>
    </w:p>
    <w:p>
      <w:pPr>
        <w:pStyle w:val="14"/>
        <w:keepNext w:val="0"/>
        <w:keepLines w:val="0"/>
        <w:pageBreakBefore w:val="0"/>
        <w:widowControl w:val="0"/>
        <w:kinsoku/>
        <w:wordWrap/>
        <w:overflowPunct/>
        <w:topLinePunct w:val="0"/>
        <w:autoSpaceDE/>
        <w:autoSpaceDN/>
        <w:bidi w:val="0"/>
        <w:adjustRightInd/>
        <w:spacing w:beforeAutospacing="0" w:afterAutospacing="0" w:line="500" w:lineRule="exact"/>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2.2</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本项目不允许中标人以任何名义和理由进行转包，如有发现，采购人有权单方终止合同，视为中标人违约；中标人违约对采购人造成的损失的，需另行支付相应的赔偿。</w:t>
      </w:r>
    </w:p>
    <w:p>
      <w:pPr>
        <w:keepNext w:val="0"/>
        <w:keepLines w:val="0"/>
        <w:pageBreakBefore w:val="0"/>
        <w:widowControl w:val="0"/>
        <w:kinsoku/>
        <w:overflowPunct/>
        <w:topLinePunct w:val="0"/>
        <w:autoSpaceDE/>
        <w:bidi w:val="0"/>
        <w:adjustRightInd/>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br w:type="page"/>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宋体" w:hAnsi="宋体" w:eastAsia="宋体" w:cs="宋体"/>
          <w:b/>
          <w:color w:val="auto"/>
          <w:sz w:val="32"/>
          <w:szCs w:val="32"/>
          <w:highlight w:val="none"/>
          <w:lang w:eastAsia="zh-CN"/>
        </w:rPr>
      </w:pPr>
      <w:bookmarkStart w:id="20" w:name="_Toc22798"/>
      <w:r>
        <w:rPr>
          <w:rFonts w:hint="eastAsia" w:ascii="宋体" w:hAnsi="宋体" w:eastAsia="宋体" w:cs="宋体"/>
          <w:b/>
          <w:color w:val="auto"/>
          <w:sz w:val="32"/>
          <w:szCs w:val="32"/>
          <w:highlight w:val="none"/>
        </w:rPr>
        <w:t>第六章</w:t>
      </w:r>
      <w:r>
        <w:rPr>
          <w:rFonts w:hint="eastAsia" w:ascii="宋体" w:hAnsi="宋体" w:eastAsia="宋体" w:cs="宋体"/>
          <w:b/>
          <w:color w:val="auto"/>
          <w:sz w:val="32"/>
          <w:szCs w:val="32"/>
          <w:highlight w:val="none"/>
          <w:lang w:val="en-US" w:eastAsia="zh-CN"/>
        </w:rPr>
        <w:t xml:space="preserve">  </w:t>
      </w:r>
      <w:bookmarkEnd w:id="20"/>
      <w:r>
        <w:rPr>
          <w:rFonts w:hint="eastAsia" w:ascii="宋体" w:hAnsi="宋体" w:eastAsia="宋体" w:cs="宋体"/>
          <w:b/>
          <w:color w:val="auto"/>
          <w:sz w:val="32"/>
          <w:szCs w:val="32"/>
          <w:highlight w:val="none"/>
          <w:lang w:eastAsia="zh-CN"/>
        </w:rPr>
        <w:t>政府采购合同</w:t>
      </w:r>
    </w:p>
    <w:p>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rPr>
        <w:t>参考文本</w:t>
      </w:r>
    </w:p>
    <w:p>
      <w:pPr>
        <w:pStyle w:val="21"/>
        <w:keepNext w:val="0"/>
        <w:keepLines w:val="0"/>
        <w:pageBreakBefore w:val="0"/>
        <w:widowControl w:val="0"/>
        <w:kinsoku/>
        <w:wordWrap/>
        <w:overflowPunct/>
        <w:topLinePunct w:val="0"/>
        <w:autoSpaceDE/>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9"/>
        <w:rPr>
          <w:rFonts w:hint="eastAsia" w:ascii="宋体" w:hAnsi="宋体" w:eastAsia="宋体" w:cs="宋体"/>
          <w:color w:val="auto"/>
          <w:highlight w:val="none"/>
        </w:rPr>
      </w:pPr>
      <w:r>
        <w:rPr>
          <w:rFonts w:hint="eastAsia" w:ascii="宋体" w:hAnsi="宋体" w:eastAsia="宋体" w:cs="宋体"/>
          <w:b/>
          <w:color w:val="auto"/>
          <w:sz w:val="36"/>
          <w:highlight w:val="none"/>
        </w:rPr>
        <w:t xml:space="preserve"> 福建省政府采购合同（服务类）</w:t>
      </w:r>
    </w:p>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编制说明</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1.签订合同应遵守《中华人民共和国政府采购法》及其实施条例、《中华人民共和国民法典》等法律法规及其他有关规定。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3.政府有关主管部门对若干合同有规范文本的，可使用相应合同文本。</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3"/>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 xml:space="preserve"> 4.本合同范本仅供参考，采购人应当根据采购项目的实际需求对合同条款进行修改、补充</w:t>
      </w:r>
      <w:r>
        <w:rPr>
          <w:rFonts w:hint="eastAsia" w:ascii="宋体" w:hAnsi="宋体" w:eastAsia="宋体" w:cs="宋体"/>
          <w:b/>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真：</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乙    </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真：</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u w:val="single"/>
          <w:lang w:val="en-US" w:eastAsia="zh-CN"/>
        </w:rPr>
      </w:pP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项目（以下简称：“本项目”）的采购结果，遵循平等、自愿、公平和诚实信用的原则，双方签署本合同，具体内容如下：</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一、合同组成部分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本合同条款及附件；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采购文件及其附件、补充文件；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乙方的响应文件及其附件、补充文件；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其他文件或材料：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二、合同标的</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b/>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三、价格形式及合同价款</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价格形式</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固定单价合同。完成约定服务事项的含税合同单价为：人民币（大写）元（￥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固定总价合同。完成约定服务事项的含税服务费用为：人民币（大写）元（￥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合同价款包含范围</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4"/>
        <w:rPr>
          <w:rFonts w:hint="eastAsia" w:ascii="宋体" w:hAnsi="宋体" w:eastAsia="宋体" w:cs="宋体"/>
          <w:b/>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其他需说明的事项</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4"/>
        <w:rPr>
          <w:rFonts w:hint="eastAsia" w:ascii="宋体" w:hAnsi="宋体" w:eastAsia="宋体" w:cs="宋体"/>
          <w:b/>
          <w:color w:val="auto"/>
          <w:sz w:val="24"/>
          <w:szCs w:val="24"/>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四、合同标的及服务范围、地点和时间</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服务范围：</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服务完成时间：</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五、服务内容、质量标准和要求</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服务工作量的计量方式：</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服务内容：</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技术保障、服务人员组成、所涉及的货物的质量标准：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（1）服务技术保障：</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（2）服务人员组成：</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（3）服务设备及物资投入及质量标准：</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服务质量标准及要求：</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5.4.2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5.4.3其他要求：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六、服务履约验收或考核</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甲方按照采购文件、乙方的投标或响应文件和本协议约定的服务内容及质量要求按次组织对乙方所提供服务进行验收，或定期进行服务考核，并根据验收或考核结果支付服务费用。具体如下：</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七、甲方的权利与义务</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甲方委派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为联系人，联系方式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，负责与乙方联系。如甲方联系人发生变更，甲方应书面告知乙方。</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甲方应为乙方开展服务工作提供必要的工作条件，以及对内对外沟通和配合协助。</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7.3甲方应于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之前提供服务所需的全部资料，并对所提供材料真实性、完整性、合法性负责。</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甲方应按本合同约定及时足额支付服务费用及相关费用。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八、乙方的权利与义务</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乙方委派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为联系人，联系方式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，负责与甲方联系。如乙方联系人发生变更，乙方应书面告知甲方</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乙方应国家法律法规和{{乙方的权利与义务-响应要求-福建}}等要求开展{{乙方的权利与义务-开展服务-福建}}服务</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乙方及其所委派服务人员应按标准或协议约定方式出具服务成果，并对其真实性和合法性负法律责任</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乙方对执行业务过程中知悉的国家秘密或甲方的商业秘密保密。除非国家法律法规及行业规范另有规定,或经甲方同意,乙方不得将其知悉的商业秘密和甲方提供的资料对外泄露。</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乙方对服务业务应当单独建档，保存完整的工作记录，并对服务过程使用和暂存甲方的文件、材料和财物应当妥善保管。</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服务工作结束后,乙方将根据情况对甲方服务相关的管理制度及其他事项等提出改进意见。</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乙方完全遵守《中华人民共和国劳动合同法》有关规定和《中华人民共和国妇女权益保障法》中关于“劳动和社会保障权益”的有关要求。</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九、资金支付方式、时间和条件</w:t>
      </w:r>
      <w:r>
        <w:rPr>
          <w:rFonts w:hint="eastAsia" w:ascii="宋体" w:hAnsi="宋体" w:eastAsia="宋体" w:cs="宋体"/>
          <w:color w:val="auto"/>
          <w:sz w:val="24"/>
          <w:szCs w:val="24"/>
          <w:highlight w:val="none"/>
        </w:rPr>
        <w:br w:type="textWrapping"/>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十、履约保证金</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□有，□无。具体如下：</w:t>
      </w:r>
      <w:r>
        <w:rPr>
          <w:rFonts w:hint="eastAsia" w:ascii="宋体" w:hAnsi="宋体" w:eastAsia="宋体" w:cs="宋体"/>
          <w:color w:val="auto"/>
          <w:sz w:val="24"/>
          <w:szCs w:val="24"/>
          <w:highlight w:val="none"/>
          <w:u w:val="single"/>
        </w:rPr>
        <w:t>（按照采购文件规定填写）</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乙方向甲方缴纳人民币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元作为本合同的履约保证金。</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履约保证金缴纳形式：支票/汇票/电汇/保函等非现金形式。</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履约保证金合同履行完毕前有效，合同履行完毕后一次性结清退还。</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十一、合同期限</w:t>
      </w:r>
      <w:r>
        <w:rPr>
          <w:rFonts w:hint="eastAsia" w:ascii="宋体" w:hAnsi="宋体" w:eastAsia="宋体" w:cs="宋体"/>
          <w:color w:val="auto"/>
          <w:sz w:val="24"/>
          <w:szCs w:val="24"/>
          <w:highlight w:val="none"/>
        </w:rPr>
        <w:br w:type="textWrapping"/>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十二、保密条款</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对于在采购和合同履行过程中所获悉的属于保密的内容，甲、乙双方均负有保密义务。</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十三、违约责任</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甲方违约责任</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（1）甲方无正当理由拒绝乙方提供合格服务的，甲方应向乙方偿付所拒收合同总价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向乙方支付违约金。</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乙方违约责任</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（1）乙方逾期履行服务的，乙方应按逾期交付总额每日</w:t>
      </w:r>
      <w:r>
        <w:rPr>
          <w:rFonts w:hint="eastAsia" w:ascii="宋体" w:hAnsi="宋体" w:eastAsia="宋体" w:cs="宋体"/>
          <w:color w:val="auto"/>
          <w:sz w:val="24"/>
          <w:szCs w:val="24"/>
          <w:highlight w:val="none"/>
          <w:u w:val="single"/>
          <w:lang w:val="en-US" w:eastAsia="zh-CN"/>
        </w:rPr>
        <w:t xml:space="preserve">    </w:t>
      </w:r>
      <w:bookmarkStart w:id="21" w:name="OLE_LINK26"/>
      <w:r>
        <w:rPr>
          <w:rFonts w:hint="eastAsia" w:ascii="宋体" w:hAnsi="宋体" w:eastAsia="宋体" w:cs="宋体"/>
          <w:color w:val="auto"/>
          <w:sz w:val="24"/>
          <w:szCs w:val="24"/>
          <w:highlight w:val="none"/>
          <w:u w:val="single"/>
          <w:lang w:val="en-US" w:eastAsia="zh-CN"/>
        </w:rPr>
        <w:t xml:space="preserve">           </w:t>
      </w:r>
      <w:bookmarkEnd w:id="21"/>
      <w:r>
        <w:rPr>
          <w:rFonts w:hint="eastAsia" w:ascii="宋体" w:hAnsi="宋体" w:eastAsia="宋体" w:cs="宋体"/>
          <w:color w:val="auto"/>
          <w:sz w:val="24"/>
          <w:szCs w:val="24"/>
          <w:highlight w:val="none"/>
        </w:rPr>
        <w:t>向甲方支付违约金，由甲方从待付货款中扣除。乙方无正当理由逾期超过约定日期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仍不能交付的，视为“乙方不按合同约定履约”</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（3）乙方不按合同约定履约的，甲方可以解除采购合同，并对乙方已缴纳的履约保证金作“不予退还”处理。同时，乙方须按以下约定向甲方支付违约金：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（4）其他违约情形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十四、不可抗力事件处理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十五、解决争议的方法</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甲、乙双方协商解决。</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若协商解决不成，双方明确按以下第_种方式解决：</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1、提交仲裁委员会仲裁，具体如下：</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2、向人民法院提起诉讼。</w:t>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十六、合同其他条款</w:t>
      </w:r>
      <w:r>
        <w:rPr>
          <w:rFonts w:hint="eastAsia" w:ascii="宋体" w:hAnsi="宋体" w:eastAsia="宋体" w:cs="宋体"/>
          <w:color w:val="auto"/>
          <w:sz w:val="24"/>
          <w:szCs w:val="24"/>
          <w:highlight w:val="none"/>
        </w:rPr>
        <w:br w:type="textWrapping"/>
      </w:r>
    </w:p>
    <w:p>
      <w:pPr>
        <w:pStyle w:val="21"/>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十七、其他约定</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合同文件与本合同具有同等法律效力。</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本合同未尽事宜，遵照《中华人民共和国民法典》有关条文执行</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本合同正本一式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份，具有同等法律效力，甲方、乙方各执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本合同已用于政府采购合同融资，为本项目提供合同融资的金融机构为：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，甲方应及时将资金支付到本合同乙方账号。</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应于采购合同签订之日起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内，向发放政采贷的金融机构提交政府采购中标（成交）通知书和政府采购合同，贷款金额以政府采购合同金额为限。</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ind w:left="482" w:hanging="482" w:hangingChars="200"/>
        <w:jc w:val="both"/>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十八、合同附件</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b/>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乙方（中标或成交人）：</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lang w:val="en-US"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jc w:val="both"/>
        <w:textAlignment w:val="auto"/>
        <w:outlineLvl w:val="3"/>
        <w:rPr>
          <w:rFonts w:hint="eastAsia" w:ascii="宋体" w:hAnsi="宋体" w:eastAsia="宋体" w:cs="宋体"/>
          <w:b/>
          <w:color w:val="auto"/>
          <w:sz w:val="32"/>
          <w:szCs w:val="32"/>
          <w:highlight w:val="none"/>
          <w:lang w:eastAsia="zh-CN"/>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br w:type="page"/>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outlineLvl w:val="0"/>
        <w:rPr>
          <w:rFonts w:hint="eastAsia" w:ascii="宋体" w:hAnsi="宋体" w:eastAsia="宋体" w:cs="宋体"/>
          <w:color w:val="auto"/>
          <w:sz w:val="24"/>
          <w:szCs w:val="24"/>
          <w:highlight w:val="none"/>
          <w:lang w:eastAsia="zh-CN"/>
        </w:rPr>
      </w:pPr>
      <w:bookmarkStart w:id="22" w:name="_Toc2899"/>
      <w:r>
        <w:rPr>
          <w:rFonts w:hint="eastAsia" w:ascii="宋体" w:hAnsi="宋体" w:eastAsia="宋体" w:cs="宋体"/>
          <w:b/>
          <w:color w:val="auto"/>
          <w:sz w:val="28"/>
          <w:szCs w:val="28"/>
          <w:highlight w:val="none"/>
        </w:rPr>
        <w:t>第七章</w:t>
      </w:r>
      <w:r>
        <w:rPr>
          <w:rFonts w:hint="eastAsia" w:ascii="宋体" w:hAnsi="宋体" w:eastAsia="宋体" w:cs="宋体"/>
          <w:b/>
          <w:color w:val="auto"/>
          <w:sz w:val="28"/>
          <w:szCs w:val="28"/>
          <w:highlight w:val="none"/>
          <w:lang w:val="en-US" w:eastAsia="zh-CN"/>
        </w:rPr>
        <w:t xml:space="preserve">  电子</w:t>
      </w:r>
      <w:r>
        <w:rPr>
          <w:rFonts w:hint="eastAsia" w:ascii="宋体" w:hAnsi="宋体" w:eastAsia="宋体" w:cs="宋体"/>
          <w:b/>
          <w:color w:val="auto"/>
          <w:sz w:val="28"/>
          <w:szCs w:val="28"/>
          <w:highlight w:val="none"/>
          <w:lang w:eastAsia="zh-CN"/>
        </w:rPr>
        <w:t>投标文件</w:t>
      </w:r>
      <w:r>
        <w:rPr>
          <w:rFonts w:hint="eastAsia" w:ascii="宋体" w:hAnsi="宋体" w:eastAsia="宋体" w:cs="宋体"/>
          <w:b/>
          <w:color w:val="auto"/>
          <w:sz w:val="28"/>
          <w:szCs w:val="28"/>
          <w:highlight w:val="none"/>
        </w:rPr>
        <w:t>格式</w:t>
      </w:r>
      <w:bookmarkEnd w:id="22"/>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由系统自动生成</w:t>
      </w:r>
      <w:r>
        <w:rPr>
          <w:rFonts w:hint="eastAsia" w:ascii="宋体" w:hAnsi="宋体" w:eastAsia="宋体" w:cs="宋体"/>
          <w:b/>
          <w:color w:val="auto"/>
          <w:sz w:val="28"/>
          <w:szCs w:val="28"/>
          <w:highlight w:val="none"/>
          <w:lang w:eastAsia="zh-CN"/>
        </w:rPr>
        <w:t>）</w:t>
      </w:r>
    </w:p>
    <w:p>
      <w:pPr>
        <w:pStyle w:val="21"/>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编制说明</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1、除招标文件另有规定外，本章中：</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涉及投标人的“全称”：</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不接受联合体投标的，指投标人的全称。</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接受联合体投标且投标人为联合体的，指牵头方的全称并加注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联合体牵头方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，即应表述为：“牵头方的全称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联合体牵头方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涉及投标人“加盖单位公章”：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不接受联合体投标的，指加盖投标人的单位公章。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接受联合体投标且投标人为联合体的，指加盖联合体牵头方的单位公章。</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涉及“投标人代表签字”：</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不接受联合体投标的，指由投标人的单位负责人或其授权的委托代理人签字，由委托代理人签字的，应提供“单位授权书”。</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接受联合体投标且投标人为联合体的，指由联合体牵头方的单位负责人或其授权的委托代理人签字，由委托代理人签字的，应提供“单位授权书”。</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“其他组织”指合伙企业、非企业专业服务机构、个体工商户、农村承包经营户等。</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“自然人”指具有完全民事行为能力、能够承担民事责任和义务的中国公民。</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2、除招标文件另有规定外，本章中“投标人的资格及资信证明文件”：</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投标人应按照招标文件第四章第1.3条第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款规定及本章规定进行编制，如有必要，可增加附页，附页作为资格及资信文件的组成部分。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接受联合体投标且投标人为联合体的，联合体中的各方均应按照本章第2.1条规定提交相应的全部资料。</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3、投标人对电子投标文件的索引应编制页码。</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4、本章提供格式仅供参考，投标人应根据自身实际情况制作电子投标文件。</w:t>
      </w:r>
    </w:p>
    <w:sectPr>
      <w:footerReference r:id="rId3" w:type="default"/>
      <w:pgSz w:w="11906" w:h="16838"/>
      <w:pgMar w:top="1440" w:right="1400" w:bottom="1440" w:left="14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73573"/>
    <w:multiLevelType w:val="singleLevel"/>
    <w:tmpl w:val="2B3735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zAzNTg4ODZmMWY3YjQzNWM5YzYyNmFlYTU4NGMifQ=="/>
  </w:docVars>
  <w:rsids>
    <w:rsidRoot w:val="53B52B8D"/>
    <w:rsid w:val="00306153"/>
    <w:rsid w:val="014F6641"/>
    <w:rsid w:val="0311650D"/>
    <w:rsid w:val="036B6BBE"/>
    <w:rsid w:val="047343F5"/>
    <w:rsid w:val="06602D2A"/>
    <w:rsid w:val="07257627"/>
    <w:rsid w:val="08953333"/>
    <w:rsid w:val="09504645"/>
    <w:rsid w:val="09836AFC"/>
    <w:rsid w:val="0B386398"/>
    <w:rsid w:val="0E184D0B"/>
    <w:rsid w:val="0F086B7B"/>
    <w:rsid w:val="0FEA72CE"/>
    <w:rsid w:val="10B444AC"/>
    <w:rsid w:val="116E48C1"/>
    <w:rsid w:val="11A71B81"/>
    <w:rsid w:val="14423628"/>
    <w:rsid w:val="16D70902"/>
    <w:rsid w:val="177F50ED"/>
    <w:rsid w:val="17C27715"/>
    <w:rsid w:val="18EE3045"/>
    <w:rsid w:val="19691C8D"/>
    <w:rsid w:val="1BD559A8"/>
    <w:rsid w:val="1C1C4F1A"/>
    <w:rsid w:val="1F296504"/>
    <w:rsid w:val="1F861AAD"/>
    <w:rsid w:val="21111F81"/>
    <w:rsid w:val="22C00CF5"/>
    <w:rsid w:val="24125580"/>
    <w:rsid w:val="24F9229C"/>
    <w:rsid w:val="27545EB0"/>
    <w:rsid w:val="276B7F74"/>
    <w:rsid w:val="27E90DB4"/>
    <w:rsid w:val="28FF44CE"/>
    <w:rsid w:val="290F6532"/>
    <w:rsid w:val="2A4B619F"/>
    <w:rsid w:val="2ADB6075"/>
    <w:rsid w:val="2BAF2466"/>
    <w:rsid w:val="2DAD167F"/>
    <w:rsid w:val="31634C13"/>
    <w:rsid w:val="31E57076"/>
    <w:rsid w:val="31E61640"/>
    <w:rsid w:val="34BF0E0C"/>
    <w:rsid w:val="355A2B02"/>
    <w:rsid w:val="37B51F94"/>
    <w:rsid w:val="381D1185"/>
    <w:rsid w:val="3A9113AB"/>
    <w:rsid w:val="3E073B84"/>
    <w:rsid w:val="3F2F7CB5"/>
    <w:rsid w:val="3F86684F"/>
    <w:rsid w:val="402C30CE"/>
    <w:rsid w:val="424916C2"/>
    <w:rsid w:val="427F607F"/>
    <w:rsid w:val="431B5DA8"/>
    <w:rsid w:val="449060EB"/>
    <w:rsid w:val="44C77869"/>
    <w:rsid w:val="463E6462"/>
    <w:rsid w:val="46A1726F"/>
    <w:rsid w:val="47CB01F9"/>
    <w:rsid w:val="488B194E"/>
    <w:rsid w:val="49302C43"/>
    <w:rsid w:val="49D203AB"/>
    <w:rsid w:val="4C59524B"/>
    <w:rsid w:val="4C927F2F"/>
    <w:rsid w:val="4CCA56AC"/>
    <w:rsid w:val="4CFD684A"/>
    <w:rsid w:val="4D20220D"/>
    <w:rsid w:val="4D497849"/>
    <w:rsid w:val="4E9B4517"/>
    <w:rsid w:val="4F492C23"/>
    <w:rsid w:val="4F4D74C0"/>
    <w:rsid w:val="4FA40ED3"/>
    <w:rsid w:val="510C0081"/>
    <w:rsid w:val="535449C0"/>
    <w:rsid w:val="53B52B8D"/>
    <w:rsid w:val="54E84F5B"/>
    <w:rsid w:val="56097CE2"/>
    <w:rsid w:val="5705494D"/>
    <w:rsid w:val="57775B24"/>
    <w:rsid w:val="585F008D"/>
    <w:rsid w:val="5CAF478F"/>
    <w:rsid w:val="5CC93515"/>
    <w:rsid w:val="5D3B65FA"/>
    <w:rsid w:val="5DC22821"/>
    <w:rsid w:val="5E05632D"/>
    <w:rsid w:val="5EC749A4"/>
    <w:rsid w:val="5ED772C2"/>
    <w:rsid w:val="600D30EC"/>
    <w:rsid w:val="60AA20C1"/>
    <w:rsid w:val="60D43015"/>
    <w:rsid w:val="638E1826"/>
    <w:rsid w:val="64BA068B"/>
    <w:rsid w:val="65AC2058"/>
    <w:rsid w:val="671D40B3"/>
    <w:rsid w:val="675C12AE"/>
    <w:rsid w:val="685071C7"/>
    <w:rsid w:val="69A82631"/>
    <w:rsid w:val="69B31FE7"/>
    <w:rsid w:val="69F8726D"/>
    <w:rsid w:val="6A6E2AA9"/>
    <w:rsid w:val="6ADE1931"/>
    <w:rsid w:val="6B882FFF"/>
    <w:rsid w:val="6DEA513E"/>
    <w:rsid w:val="6EF2710D"/>
    <w:rsid w:val="6F403A80"/>
    <w:rsid w:val="6FAF7310"/>
    <w:rsid w:val="70714D08"/>
    <w:rsid w:val="70951102"/>
    <w:rsid w:val="71061924"/>
    <w:rsid w:val="71E74F23"/>
    <w:rsid w:val="727A00C0"/>
    <w:rsid w:val="72895FDA"/>
    <w:rsid w:val="73090758"/>
    <w:rsid w:val="740C19F2"/>
    <w:rsid w:val="745E02FE"/>
    <w:rsid w:val="74D6127F"/>
    <w:rsid w:val="759D47B7"/>
    <w:rsid w:val="76041CF0"/>
    <w:rsid w:val="77011C4E"/>
    <w:rsid w:val="77186469"/>
    <w:rsid w:val="77F79321"/>
    <w:rsid w:val="783148A6"/>
    <w:rsid w:val="78D72A20"/>
    <w:rsid w:val="78E178D3"/>
    <w:rsid w:val="7D7E4262"/>
    <w:rsid w:val="7D8C4624"/>
    <w:rsid w:val="7ED625A7"/>
    <w:rsid w:val="7EE24FEB"/>
    <w:rsid w:val="7F4D6CD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color w:val="FF0000"/>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rPr>
  </w:style>
  <w:style w:type="paragraph" w:styleId="7">
    <w:name w:val="Body Text Indent 2"/>
    <w:basedOn w:val="1"/>
    <w:qFormat/>
    <w:uiPriority w:val="0"/>
    <w:pPr>
      <w:spacing w:after="120" w:line="480" w:lineRule="auto"/>
      <w:ind w:left="200" w:leftChars="2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2"/>
    <w:basedOn w:val="1"/>
    <w:next w:val="4"/>
    <w:qFormat/>
    <w:uiPriority w:val="0"/>
    <w:pPr>
      <w:adjustRightInd w:val="0"/>
      <w:spacing w:after="120" w:line="480" w:lineRule="auto"/>
      <w:textAlignment w:val="baseline"/>
    </w:pPr>
    <w:rPr>
      <w:rFonts w:ascii="Times New Roman" w:hAnsi="Times New Roman"/>
      <w:kern w:val="0"/>
      <w:sz w:val="20"/>
      <w:szCs w:val="20"/>
    </w:rPr>
  </w:style>
  <w:style w:type="paragraph" w:styleId="14">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5"/>
    <w:qFormat/>
    <w:uiPriority w:val="99"/>
    <w:pPr>
      <w:tabs>
        <w:tab w:val="left" w:pos="4606"/>
      </w:tabs>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样式 标题 3 + (中文) 黑体 小四 非加粗 段前: 7.8 磅 段后: 0 磅 行距: 固定值 20 磅"/>
    <w:basedOn w:val="2"/>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Table Paragraph"/>
    <w:basedOn w:val="1"/>
    <w:qFormat/>
    <w:uiPriority w:val="1"/>
    <w:rPr>
      <w:rFonts w:ascii="宋体" w:hAnsi="宋体" w:cs="宋体"/>
      <w:lang w:val="zh-CN" w:bidi="zh-CN"/>
    </w:rPr>
  </w:style>
  <w:style w:type="paragraph" w:customStyle="1" w:styleId="24">
    <w:name w:val="正文 A"/>
    <w:qFormat/>
    <w:uiPriority w:val="0"/>
    <w:pPr>
      <w:widowControl w:val="0"/>
      <w:jc w:val="both"/>
    </w:pPr>
    <w:rPr>
      <w:rFonts w:ascii="Arial Unicode MS" w:hAnsi="Times New Roman" w:eastAsia="Arial Unicode MS" w:cs="Arial Unicode MS"/>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2048</Words>
  <Characters>2279</Characters>
  <Lines>0</Lines>
  <Paragraphs>0</Paragraphs>
  <TotalTime>42</TotalTime>
  <ScaleCrop>false</ScaleCrop>
  <LinksUpToDate>false</LinksUpToDate>
  <CharactersWithSpaces>2362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陈风</cp:lastModifiedBy>
  <dcterms:modified xsi:type="dcterms:W3CDTF">2025-08-19T09:31:06Z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7F446CA337BB403095192DDD90362F3E_13</vt:lpwstr>
  </property>
  <property fmtid="{D5CDD505-2E9C-101B-9397-08002B2CF9AE}" pid="4" name="KSOTemplateDocerSaveRecord">
    <vt:lpwstr>eyJoZGlkIjoiZmI4NDg4MDhmOTAzYjc2N2EzMGNhNmQxM2I2MWY5MTciLCJ1c2VySWQiOiI0NjY2MzM0NTgifQ==</vt:lpwstr>
  </property>
</Properties>
</file>