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41E9A">
      <w:pPr>
        <w:keepNext w:val="0"/>
        <w:keepLines w:val="0"/>
        <w:pageBreakBefore w:val="0"/>
        <w:widowControl w:val="0"/>
        <w:kinsoku/>
        <w:overflowPunct/>
        <w:topLinePunct w:val="0"/>
        <w:autoSpaceDE/>
        <w:autoSpaceDN/>
        <w:bidi w:val="0"/>
        <w:adjustRightInd/>
        <w:snapToGrid/>
        <w:spacing w:before="0" w:after="0" w:line="560" w:lineRule="exact"/>
        <w:jc w:val="left"/>
        <w:textAlignment w:val="auto"/>
        <w:rPr>
          <w:rFonts w:hint="default"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附件一：</w:t>
      </w:r>
    </w:p>
    <w:p w14:paraId="408DAA97">
      <w:pPr>
        <w:keepNext w:val="0"/>
        <w:keepLines w:val="0"/>
        <w:pageBreakBefore w:val="0"/>
        <w:widowControl w:val="0"/>
        <w:kinsoku/>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bCs/>
          <w:sz w:val="36"/>
          <w:szCs w:val="36"/>
          <w:lang w:eastAsia="zh-CN"/>
        </w:rPr>
      </w:pPr>
      <w:r>
        <w:rPr>
          <w:rFonts w:hint="eastAsia" w:ascii="方正小标宋简体" w:hAnsi="方正小标宋简体" w:eastAsia="方正小标宋简体" w:cs="方正小标宋简体"/>
          <w:b/>
          <w:bCs/>
          <w:sz w:val="36"/>
          <w:szCs w:val="36"/>
          <w:lang w:val="en-US" w:eastAsia="zh-CN"/>
        </w:rPr>
        <w:t>福建省九龙江流域</w:t>
      </w:r>
      <w:r>
        <w:rPr>
          <w:rFonts w:hint="eastAsia" w:ascii="方正小标宋简体" w:hAnsi="方正小标宋简体" w:eastAsia="方正小标宋简体" w:cs="方正小标宋简体"/>
          <w:b/>
          <w:bCs/>
          <w:sz w:val="36"/>
          <w:szCs w:val="36"/>
        </w:rPr>
        <w:t>中心办公网络通讯项目</w:t>
      </w:r>
      <w:r>
        <w:rPr>
          <w:rFonts w:hint="eastAsia" w:ascii="方正小标宋简体" w:hAnsi="方正小标宋简体" w:eastAsia="方正小标宋简体" w:cs="方正小标宋简体"/>
          <w:b/>
          <w:bCs/>
          <w:sz w:val="36"/>
          <w:szCs w:val="36"/>
          <w:lang w:eastAsia="zh-CN"/>
        </w:rPr>
        <w:t>（</w:t>
      </w:r>
      <w:r>
        <w:rPr>
          <w:rFonts w:hint="eastAsia" w:ascii="方正小标宋简体" w:hAnsi="方正小标宋简体" w:eastAsia="方正小标宋简体" w:cs="方正小标宋简体"/>
          <w:b/>
          <w:bCs/>
          <w:sz w:val="36"/>
          <w:szCs w:val="36"/>
          <w:lang w:val="en-US" w:eastAsia="zh-CN"/>
        </w:rPr>
        <w:t>2025</w:t>
      </w:r>
      <w:r>
        <w:rPr>
          <w:rFonts w:hint="eastAsia" w:ascii="方正小标宋简体" w:hAnsi="方正小标宋简体" w:eastAsia="方正小标宋简体" w:cs="方正小标宋简体"/>
          <w:b/>
          <w:bCs/>
          <w:sz w:val="36"/>
          <w:szCs w:val="36"/>
          <w:lang w:eastAsia="zh-CN"/>
        </w:rPr>
        <w:t>）</w:t>
      </w:r>
    </w:p>
    <w:p w14:paraId="578D40E7">
      <w:pPr>
        <w:keepNext w:val="0"/>
        <w:keepLines w:val="0"/>
        <w:pageBreakBefore w:val="0"/>
        <w:widowControl w:val="0"/>
        <w:kinsoku/>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报价清单</w:t>
      </w:r>
    </w:p>
    <w:tbl>
      <w:tblPr>
        <w:tblStyle w:val="6"/>
        <w:tblW w:w="13970" w:type="dxa"/>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
      <w:tblGrid>
        <w:gridCol w:w="337"/>
        <w:gridCol w:w="3571"/>
        <w:gridCol w:w="7136"/>
        <w:gridCol w:w="590"/>
        <w:gridCol w:w="358"/>
        <w:gridCol w:w="983"/>
        <w:gridCol w:w="995"/>
      </w:tblGrid>
      <w:tr w14:paraId="761CEE1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4293">
            <w:pPr>
              <w:keepNext w:val="0"/>
              <w:keepLines w:val="0"/>
              <w:pageBreakBefore w:val="0"/>
              <w:widowControl w:val="0"/>
              <w:kinsoku/>
              <w:overflowPunct/>
              <w:topLinePunct w:val="0"/>
              <w:autoSpaceDE/>
              <w:autoSpaceDN/>
              <w:bidi w:val="0"/>
              <w:adjustRightInd/>
              <w:snapToGrid/>
              <w:spacing w:after="0" w:line="400" w:lineRule="exact"/>
              <w:ind w:left="0" w:right="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序号</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79B2">
            <w:pPr>
              <w:keepNext w:val="0"/>
              <w:keepLines w:val="0"/>
              <w:pageBreakBefore w:val="0"/>
              <w:widowControl w:val="0"/>
              <w:kinsoku/>
              <w:overflowPunct/>
              <w:topLinePunct w:val="0"/>
              <w:autoSpaceDE/>
              <w:autoSpaceDN/>
              <w:bidi w:val="0"/>
              <w:adjustRightInd/>
              <w:snapToGrid/>
              <w:spacing w:after="0" w:line="400" w:lineRule="exact"/>
              <w:ind w:left="0" w:right="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点位地址</w:t>
            </w:r>
          </w:p>
        </w:tc>
        <w:tc>
          <w:tcPr>
            <w:tcW w:w="7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FC9A">
            <w:pPr>
              <w:keepNext w:val="0"/>
              <w:keepLines w:val="0"/>
              <w:pageBreakBefore w:val="0"/>
              <w:widowControl w:val="0"/>
              <w:kinsoku/>
              <w:overflowPunct/>
              <w:topLinePunct w:val="0"/>
              <w:autoSpaceDE/>
              <w:autoSpaceDN/>
              <w:bidi w:val="0"/>
              <w:adjustRightInd/>
              <w:snapToGrid/>
              <w:spacing w:after="0" w:line="400" w:lineRule="exact"/>
              <w:ind w:left="0" w:right="0"/>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技术参数要求</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B4A3">
            <w:pPr>
              <w:keepNext w:val="0"/>
              <w:keepLines w:val="0"/>
              <w:pageBreakBefore w:val="0"/>
              <w:widowControl w:val="0"/>
              <w:kinsoku/>
              <w:overflowPunct/>
              <w:topLinePunct w:val="0"/>
              <w:autoSpaceDE/>
              <w:autoSpaceDN/>
              <w:bidi w:val="0"/>
              <w:adjustRightInd/>
              <w:snapToGrid/>
              <w:spacing w:after="0" w:line="400" w:lineRule="exact"/>
              <w:ind w:left="0" w:right="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服务</w:t>
            </w:r>
          </w:p>
          <w:p w14:paraId="039CE3B4">
            <w:pPr>
              <w:keepNext w:val="0"/>
              <w:keepLines w:val="0"/>
              <w:pageBreakBefore w:val="0"/>
              <w:widowControl w:val="0"/>
              <w:kinsoku/>
              <w:overflowPunct/>
              <w:topLinePunct w:val="0"/>
              <w:autoSpaceDE/>
              <w:autoSpaceDN/>
              <w:bidi w:val="0"/>
              <w:adjustRightInd/>
              <w:snapToGrid/>
              <w:spacing w:after="0" w:line="400" w:lineRule="exact"/>
              <w:ind w:left="0" w:right="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期限</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FCF9">
            <w:pPr>
              <w:keepNext w:val="0"/>
              <w:keepLines w:val="0"/>
              <w:pageBreakBefore w:val="0"/>
              <w:widowControl w:val="0"/>
              <w:kinsoku/>
              <w:overflowPunct/>
              <w:topLinePunct w:val="0"/>
              <w:autoSpaceDE/>
              <w:autoSpaceDN/>
              <w:bidi w:val="0"/>
              <w:adjustRightInd/>
              <w:snapToGrid/>
              <w:spacing w:after="0" w:line="400" w:lineRule="exact"/>
              <w:ind w:left="0" w:right="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数量</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6229">
            <w:pPr>
              <w:keepNext w:val="0"/>
              <w:keepLines w:val="0"/>
              <w:pageBreakBefore w:val="0"/>
              <w:widowControl w:val="0"/>
              <w:kinsoku/>
              <w:overflowPunct/>
              <w:topLinePunct w:val="0"/>
              <w:autoSpaceDE/>
              <w:autoSpaceDN/>
              <w:bidi w:val="0"/>
              <w:adjustRightInd/>
              <w:snapToGrid/>
              <w:spacing w:after="0" w:line="400" w:lineRule="exact"/>
              <w:ind w:left="0" w:right="0"/>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单位</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B92A">
            <w:pPr>
              <w:keepNext w:val="0"/>
              <w:keepLines w:val="0"/>
              <w:pageBreakBefore w:val="0"/>
              <w:widowControl w:val="0"/>
              <w:kinsoku/>
              <w:overflowPunct/>
              <w:topLinePunct w:val="0"/>
              <w:autoSpaceDE/>
              <w:autoSpaceDN/>
              <w:bidi w:val="0"/>
              <w:adjustRightInd/>
              <w:snapToGrid/>
              <w:spacing w:after="0" w:line="400" w:lineRule="exact"/>
              <w:ind w:left="0" w:right="0"/>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报价</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元</w:t>
            </w:r>
            <w:r>
              <w:rPr>
                <w:rFonts w:hint="eastAsia" w:ascii="仿宋_GB2312" w:hAnsi="仿宋_GB2312" w:eastAsia="仿宋_GB2312" w:cs="仿宋_GB2312"/>
                <w:color w:val="000000"/>
                <w:sz w:val="28"/>
                <w:szCs w:val="28"/>
                <w:highlight w:val="none"/>
                <w:lang w:eastAsia="zh-CN"/>
              </w:rPr>
              <w:t>）</w:t>
            </w:r>
          </w:p>
        </w:tc>
      </w:tr>
      <w:tr w14:paraId="0E3C407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67A0">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444F4075">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78E1EC41">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2A89CC32">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4BF7F007">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0C760CDE">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57C63F0D">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56EF4602">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rPr>
              <w:t>1</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CCBA">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5AF144B6">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3951D188">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49B9A5D0">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158082FA">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5ABA8877">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rPr>
              <w:t>裸纤专网服务（北溪水闸机房对接角美镇温泉路1号九龙江流域中心）</w:t>
            </w:r>
          </w:p>
        </w:tc>
        <w:tc>
          <w:tcPr>
            <w:tcW w:w="7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04DE">
            <w:pPr>
              <w:keepNext w:val="0"/>
              <w:keepLines w:val="0"/>
              <w:pageBreakBefore w:val="0"/>
              <w:widowControl w:val="0"/>
              <w:kinsoku/>
              <w:wordWrap/>
              <w:overflowPunct/>
              <w:topLinePunct w:val="0"/>
              <w:autoSpaceDE/>
              <w:autoSpaceDN/>
              <w:bidi w:val="0"/>
              <w:adjustRightInd/>
              <w:snapToGrid/>
              <w:spacing w:after="0" w:line="300" w:lineRule="exact"/>
              <w:ind w:firstLine="146"/>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传输距离</w:t>
            </w:r>
          </w:p>
          <w:p w14:paraId="580161DF">
            <w:pPr>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（1）光纤连接距离≥70公里。</w:t>
            </w:r>
          </w:p>
          <w:p w14:paraId="640264C7">
            <w:pPr>
              <w:keepNext w:val="0"/>
              <w:keepLines w:val="0"/>
              <w:pageBreakBefore w:val="0"/>
              <w:widowControl w:val="0"/>
              <w:kinsoku/>
              <w:wordWrap/>
              <w:overflowPunct/>
              <w:topLinePunct w:val="0"/>
              <w:autoSpaceDE/>
              <w:autoSpaceDN/>
              <w:bidi w:val="0"/>
              <w:adjustRightInd/>
              <w:snapToGrid/>
              <w:spacing w:after="0" w:line="300" w:lineRule="exact"/>
              <w:ind w:right="104"/>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（2）传输速度：可承载10Mbps、100Mbps、1000Mbps、</w:t>
            </w:r>
          </w:p>
          <w:p w14:paraId="62A8AE27">
            <w:pPr>
              <w:keepNext w:val="0"/>
              <w:keepLines w:val="0"/>
              <w:pageBreakBefore w:val="0"/>
              <w:widowControl w:val="0"/>
              <w:kinsoku/>
              <w:wordWrap/>
              <w:overflowPunct/>
              <w:topLinePunct w:val="0"/>
              <w:autoSpaceDE/>
              <w:autoSpaceDN/>
              <w:bidi w:val="0"/>
              <w:adjustRightInd/>
              <w:snapToGrid/>
              <w:spacing w:after="0" w:line="300" w:lineRule="exact"/>
              <w:ind w:firstLine="146"/>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10000Mbps的高速带宽。</w:t>
            </w:r>
          </w:p>
          <w:p w14:paraId="1B1E09E4">
            <w:pPr>
              <w:keepNext w:val="0"/>
              <w:keepLines w:val="0"/>
              <w:pageBreakBefore w:val="0"/>
              <w:widowControl w:val="0"/>
              <w:kinsoku/>
              <w:wordWrap/>
              <w:overflowPunct/>
              <w:topLinePunct w:val="0"/>
              <w:autoSpaceDE/>
              <w:autoSpaceDN/>
              <w:bidi w:val="0"/>
              <w:adjustRightInd/>
              <w:snapToGrid/>
              <w:spacing w:after="0" w:line="300" w:lineRule="exact"/>
              <w:ind w:firstLine="146"/>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光纤连接器指标</w:t>
            </w:r>
          </w:p>
          <w:p w14:paraId="75D1437E">
            <w:pPr>
              <w:keepNext w:val="0"/>
              <w:keepLines w:val="0"/>
              <w:pageBreakBefore w:val="0"/>
              <w:widowControl w:val="0"/>
              <w:kinsoku/>
              <w:wordWrap/>
              <w:overflowPunct/>
              <w:topLinePunct w:val="0"/>
              <w:autoSpaceDE/>
              <w:autoSpaceDN/>
              <w:bidi w:val="0"/>
              <w:adjustRightInd/>
              <w:snapToGrid/>
              <w:spacing w:after="0" w:line="300" w:lineRule="exact"/>
              <w:ind w:right="244"/>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（3）结构形式可根据现场情况对光纤边接器结构形式FC、SC、ST、LC、D4、DIN、MU、MT等进行自由转换及匹配。</w:t>
            </w:r>
          </w:p>
          <w:p w14:paraId="195DDF06">
            <w:pPr>
              <w:keepNext w:val="0"/>
              <w:keepLines w:val="0"/>
              <w:pageBreakBefore w:val="0"/>
              <w:widowControl w:val="0"/>
              <w:kinsoku/>
              <w:wordWrap/>
              <w:overflowPunct/>
              <w:topLinePunct w:val="0"/>
              <w:autoSpaceDE/>
              <w:autoSpaceDN/>
              <w:bidi w:val="0"/>
              <w:adjustRightInd/>
              <w:snapToGrid/>
              <w:spacing w:after="0" w:line="300" w:lineRule="exact"/>
              <w:ind w:right="124" w:rightChars="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（4）对于同一类型的光纤连接器，具备任意组合使用、并可以重复多次使用（插拔1000次以上），由此而导入的附加损耗</w:t>
            </w:r>
            <w:r>
              <w:rPr>
                <w:rFonts w:hint="eastAsia" w:ascii="仿宋_GB2312" w:hAnsi="仿宋_GB2312" w:eastAsia="仿宋_GB2312" w:cs="仿宋_GB2312"/>
                <w:color w:val="000000"/>
                <w:sz w:val="28"/>
                <w:szCs w:val="28"/>
                <w:lang w:eastAsia="zh-CN"/>
              </w:rPr>
              <w:t>承诺</w:t>
            </w:r>
            <w:r>
              <w:rPr>
                <w:rFonts w:hint="eastAsia" w:ascii="仿宋_GB2312" w:hAnsi="仿宋_GB2312" w:eastAsia="仿宋_GB2312" w:cs="仿宋_GB2312"/>
                <w:color w:val="000000"/>
                <w:sz w:val="28"/>
                <w:szCs w:val="28"/>
              </w:rPr>
              <w:t>在小于0.2dB的范围内。</w:t>
            </w:r>
          </w:p>
          <w:p w14:paraId="2C72D5FB">
            <w:pPr>
              <w:keepNext w:val="0"/>
              <w:keepLines w:val="0"/>
              <w:pageBreakBefore w:val="0"/>
              <w:widowControl w:val="0"/>
              <w:kinsoku/>
              <w:wordWrap/>
              <w:overflowPunct/>
              <w:topLinePunct w:val="0"/>
              <w:autoSpaceDE/>
              <w:autoSpaceDN/>
              <w:bidi w:val="0"/>
              <w:adjustRightInd/>
              <w:snapToGrid/>
              <w:spacing w:after="0" w:line="300" w:lineRule="exact"/>
              <w:ind w:right="44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（5）抗拉强度：抗拉强度应不低于90N。</w:t>
            </w:r>
          </w:p>
          <w:p w14:paraId="65839387">
            <w:pPr>
              <w:keepNext w:val="0"/>
              <w:keepLines w:val="0"/>
              <w:pageBreakBefore w:val="0"/>
              <w:widowControl w:val="0"/>
              <w:kinsoku/>
              <w:wordWrap/>
              <w:overflowPunct/>
              <w:topLinePunct w:val="0"/>
              <w:autoSpaceDE/>
              <w:autoSpaceDN/>
              <w:bidi w:val="0"/>
              <w:adjustRightInd/>
              <w:snapToGrid/>
              <w:spacing w:after="0" w:line="300" w:lineRule="exact"/>
              <w:ind w:right="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（6）温度：光纤连接器必须在</w:t>
            </w:r>
            <m:oMath>
              <m:r>
                <m:rPr/>
                <w:rPr>
                  <w:rFonts w:hint="eastAsia" w:ascii="Cambria Math" w:hAnsi="Cambria Math" w:eastAsia="仿宋_GB2312" w:cs="仿宋_GB2312"/>
                  <w:color w:val="000000"/>
                  <w:sz w:val="28"/>
                  <w:szCs w:val="28"/>
                </w:rPr>
                <m:t>−</m:t>
              </m:r>
              <m:r>
                <m:rPr>
                  <m:sty m:val="p"/>
                </m:rPr>
                <w:rPr>
                  <w:rFonts w:hint="eastAsia" w:ascii="Cambria Math" w:hAnsi="Cambria Math" w:eastAsia="仿宋_GB2312" w:cs="仿宋_GB2312"/>
                  <w:color w:val="000000"/>
                  <w:sz w:val="28"/>
                  <w:szCs w:val="28"/>
                </w:rPr>
                <m:t>40</m:t>
              </m:r>
              <m:r>
                <m:rPr>
                  <m:sty m:val="p"/>
                </m:rPr>
                <w:rPr>
                  <w:rFonts w:hint="default" w:ascii="Cambria Math" w:hAnsi="Cambria Math" w:eastAsia="仿宋_GB2312" w:cs="仿宋_GB2312"/>
                  <w:color w:val="000000"/>
                  <w:sz w:val="28"/>
                  <w:szCs w:val="28"/>
                  <w:lang w:val="en-US" w:eastAsia="zh-CN"/>
                </w:rPr>
                <m:t>°</m:t>
              </m:r>
              <m:sSup>
                <m:sSupPr>
                  <m:ctrlPr>
                    <w:rPr>
                      <w:rFonts w:hint="eastAsia" w:ascii="Cambria Math" w:hAnsi="Cambria Math" w:eastAsia="仿宋_GB2312" w:cs="仿宋_GB2312"/>
                      <w:color w:val="000000"/>
                      <w:sz w:val="28"/>
                      <w:szCs w:val="28"/>
                    </w:rPr>
                  </m:ctrlPr>
                </m:sSupPr>
                <m:e>
                  <m:r>
                    <m:rPr>
                      <m:sty m:val="p"/>
                    </m:rPr>
                    <w:rPr>
                      <w:rFonts w:hint="eastAsia" w:ascii="Cambria Math" w:hAnsi="Cambria Math" w:eastAsia="仿宋_GB2312" w:cs="仿宋_GB2312"/>
                      <w:color w:val="000000"/>
                      <w:sz w:val="28"/>
                      <w:szCs w:val="28"/>
                    </w:rPr>
                    <m:t>C</m:t>
                  </m:r>
                  <m:ctrlPr>
                    <w:rPr>
                      <w:rFonts w:hint="eastAsia" w:ascii="Cambria Math" w:hAnsi="Cambria Math" w:eastAsia="仿宋_GB2312" w:cs="仿宋_GB2312"/>
                      <w:color w:val="000000"/>
                      <w:sz w:val="28"/>
                      <w:szCs w:val="28"/>
                    </w:rPr>
                  </m:ctrlPr>
                </m:e>
                <m:sup>
                  <m:r>
                    <m:rPr>
                      <m:sty m:val="p"/>
                    </m:rPr>
                    <w:rPr>
                      <w:rFonts w:hint="eastAsia" w:ascii="Cambria Math" w:hAnsi="Cambria Math" w:eastAsia="仿宋_GB2312" w:cs="仿宋_GB2312"/>
                      <w:color w:val="000000"/>
                      <w:sz w:val="28"/>
                      <w:szCs w:val="28"/>
                    </w:rPr>
                    <m:t>∼</m:t>
                  </m:r>
                  <m:ctrlPr>
                    <w:rPr>
                      <w:rFonts w:hint="eastAsia" w:ascii="Cambria Math" w:hAnsi="Cambria Math" w:eastAsia="仿宋_GB2312" w:cs="仿宋_GB2312"/>
                      <w:color w:val="000000"/>
                      <w:sz w:val="28"/>
                      <w:szCs w:val="28"/>
                    </w:rPr>
                  </m:ctrlPr>
                </m:sup>
              </m:sSup>
              <m:r>
                <m:rPr/>
                <w:rPr>
                  <w:rFonts w:hint="eastAsia" w:ascii="Cambria Math" w:hAnsi="Cambria Math" w:eastAsia="仿宋_GB2312" w:cs="仿宋_GB2312"/>
                  <w:color w:val="000000"/>
                  <w:sz w:val="28"/>
                  <w:szCs w:val="28"/>
                </w:rPr>
                <m:t>+</m:t>
              </m:r>
              <m:r>
                <m:rPr>
                  <m:sty m:val="p"/>
                </m:rPr>
                <w:rPr>
                  <w:rFonts w:hint="eastAsia" w:ascii="Cambria Math" w:hAnsi="Cambria Math" w:eastAsia="仿宋_GB2312" w:cs="仿宋_GB2312"/>
                  <w:color w:val="000000"/>
                  <w:sz w:val="28"/>
                  <w:szCs w:val="28"/>
                </w:rPr>
                <m:t>70</m:t>
              </m:r>
              <m:r>
                <m:rPr>
                  <m:sty m:val="p"/>
                </m:rPr>
                <w:rPr>
                  <w:rFonts w:hint="default" w:ascii="Cambria Math" w:hAnsi="Cambria Math" w:eastAsia="仿宋_GB2312" w:cs="仿宋_GB2312"/>
                  <w:color w:val="000000"/>
                  <w:sz w:val="28"/>
                  <w:szCs w:val="28"/>
                  <w:lang w:val="en-US" w:eastAsia="zh-CN"/>
                </w:rPr>
                <m:t>°</m:t>
              </m:r>
              <m:r>
                <m:rPr>
                  <m:sty m:val="p"/>
                </m:rPr>
                <w:rPr>
                  <w:rFonts w:hint="eastAsia" w:ascii="Cambria Math" w:hAnsi="Cambria Math" w:eastAsia="仿宋_GB2312" w:cs="仿宋_GB2312"/>
                  <w:color w:val="000000"/>
                  <w:sz w:val="28"/>
                  <w:szCs w:val="28"/>
                </w:rPr>
                <m:t>C</m:t>
              </m:r>
            </m:oMath>
            <w:r>
              <w:rPr>
                <w:rFonts w:hint="eastAsia" w:ascii="仿宋_GB2312" w:hAnsi="仿宋_GB2312" w:eastAsia="仿宋_GB2312" w:cs="仿宋_GB2312"/>
                <w:color w:val="000000"/>
                <w:sz w:val="28"/>
                <w:szCs w:val="28"/>
              </w:rPr>
              <w:t>的温度下能够正常使用。</w:t>
            </w:r>
          </w:p>
          <w:p w14:paraId="41203764">
            <w:pPr>
              <w:keepNext w:val="0"/>
              <w:keepLines w:val="0"/>
              <w:pageBreakBefore w:val="0"/>
              <w:widowControl w:val="0"/>
              <w:kinsoku/>
              <w:wordWrap/>
              <w:overflowPunct/>
              <w:topLinePunct w:val="0"/>
              <w:autoSpaceDE/>
              <w:autoSpaceDN/>
              <w:bidi w:val="0"/>
              <w:adjustRightInd/>
              <w:snapToGrid/>
              <w:spacing w:after="0" w:line="300" w:lineRule="exact"/>
              <w:ind w:firstLine="14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尾纤及软光纤（跳纤）性能：</w:t>
            </w:r>
          </w:p>
          <w:p w14:paraId="52C5C7D4">
            <w:pPr>
              <w:keepNext w:val="0"/>
              <w:keepLines w:val="0"/>
              <w:pageBreakBefore w:val="0"/>
              <w:widowControl w:val="0"/>
              <w:kinsoku/>
              <w:wordWrap/>
              <w:overflowPunct/>
              <w:topLinePunct w:val="0"/>
              <w:autoSpaceDE/>
              <w:autoSpaceDN/>
              <w:bidi w:val="0"/>
              <w:adjustRightInd/>
              <w:snapToGrid/>
              <w:spacing w:after="0" w:line="300" w:lineRule="exact"/>
              <w:ind w:right="2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（7）尾纤护套外径：标称值为2.0mm（单芯）、3.0mm（单芯），最大值偏差不超过标称值的10%。</w:t>
            </w:r>
          </w:p>
          <w:p w14:paraId="6041A80C">
            <w:pPr>
              <w:keepNext w:val="0"/>
              <w:keepLines w:val="0"/>
              <w:pageBreakBefore w:val="0"/>
              <w:widowControl w:val="0"/>
              <w:kinsoku/>
              <w:wordWrap/>
              <w:overflowPunct/>
              <w:topLinePunct w:val="0"/>
              <w:autoSpaceDE/>
              <w:autoSpaceDN/>
              <w:bidi w:val="0"/>
              <w:adjustRightInd/>
              <w:snapToGrid/>
              <w:spacing w:after="0" w:line="300" w:lineRule="exact"/>
              <w:ind w:right="12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（8）软光纤的护套外径：①标称值2.0mm，最大值2.2mm②标称值3.0mm，最大值3.3mm。</w:t>
            </w:r>
          </w:p>
          <w:p w14:paraId="0A5D26FD">
            <w:pPr>
              <w:keepNext w:val="0"/>
              <w:keepLines w:val="0"/>
              <w:pageBreakBefore w:val="0"/>
              <w:widowControl w:val="0"/>
              <w:kinsoku/>
              <w:wordWrap/>
              <w:overflowPunct/>
              <w:topLinePunct w:val="0"/>
              <w:autoSpaceDE/>
              <w:autoSpaceDN/>
              <w:bidi w:val="0"/>
              <w:adjustRightInd/>
              <w:snapToGrid/>
              <w:spacing w:after="0" w:line="300" w:lineRule="exact"/>
              <w:ind w:right="14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（9）尾纤及软光纤的2m截止波长λc≤1250nm（G．652光纤）、λc≤1470nm（G．655光纤）。</w:t>
            </w:r>
          </w:p>
          <w:p w14:paraId="16FB9713">
            <w:pPr>
              <w:keepNext w:val="0"/>
              <w:keepLines w:val="0"/>
              <w:pageBreakBefore w:val="0"/>
              <w:widowControl w:val="0"/>
              <w:kinsoku/>
              <w:wordWrap/>
              <w:overflowPunct/>
              <w:topLinePunct w:val="0"/>
              <w:autoSpaceDE/>
              <w:autoSpaceDN/>
              <w:bidi w:val="0"/>
              <w:adjustRightInd/>
              <w:snapToGrid/>
              <w:spacing w:after="0" w:line="300" w:lineRule="exact"/>
              <w:ind w:right="14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（10）尾纤接头具备FC-FC、SC-FC、SC-SC等形式。路口尾纤为铠装尾纤。</w:t>
            </w:r>
          </w:p>
          <w:p w14:paraId="60301D20">
            <w:pPr>
              <w:keepNext w:val="0"/>
              <w:keepLines w:val="0"/>
              <w:pageBreakBefore w:val="0"/>
              <w:widowControl w:val="0"/>
              <w:kinsoku/>
              <w:wordWrap/>
              <w:overflowPunct/>
              <w:topLinePunct w:val="0"/>
              <w:autoSpaceDE/>
              <w:autoSpaceDN/>
              <w:bidi w:val="0"/>
              <w:adjustRightInd/>
              <w:snapToGrid/>
              <w:spacing w:after="0" w:line="300" w:lineRule="exact"/>
              <w:ind w:firstLine="12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sz w:val="28"/>
                <w:szCs w:val="28"/>
              </w:rPr>
              <w:t>运行指标</w:t>
            </w:r>
            <w:r>
              <w:rPr>
                <w:rFonts w:hint="eastAsia" w:ascii="仿宋_GB2312" w:hAnsi="仿宋_GB2312" w:eastAsia="仿宋_GB2312" w:cs="仿宋_GB2312"/>
                <w:color w:val="000000"/>
                <w:sz w:val="28"/>
                <w:szCs w:val="28"/>
                <w:lang w:val="en-US" w:eastAsia="zh-CN"/>
              </w:rPr>
              <w:t>要求</w:t>
            </w:r>
          </w:p>
          <w:p w14:paraId="724B3269">
            <w:pPr>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（11）月平均时延：≤45MS；</w:t>
            </w:r>
          </w:p>
          <w:p w14:paraId="599E9D31">
            <w:pPr>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（12）月平均抖动：≤10MS；</w:t>
            </w:r>
          </w:p>
          <w:p w14:paraId="0660DD97">
            <w:pPr>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（13）月平均丢包率：≤1％；</w:t>
            </w:r>
          </w:p>
          <w:p w14:paraId="273474D9">
            <w:pPr>
              <w:keepNext w:val="0"/>
              <w:keepLines w:val="0"/>
              <w:pageBreakBefore w:val="0"/>
              <w:widowControl w:val="0"/>
              <w:kinsoku/>
              <w:wordWrap/>
              <w:overflowPunct/>
              <w:topLinePunct w:val="0"/>
              <w:autoSpaceDE/>
              <w:autoSpaceDN/>
              <w:bidi w:val="0"/>
              <w:adjustRightInd/>
              <w:snapToGrid/>
              <w:spacing w:after="0" w:line="300" w:lineRule="exact"/>
              <w:ind w:right="124" w:rightChars="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（14）月可用率：≥99.95％；</w:t>
            </w:r>
          </w:p>
          <w:p w14:paraId="579AA1B2">
            <w:pPr>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15</w:t>
            </w:r>
            <w:r>
              <w:rPr>
                <w:rFonts w:hint="eastAsia" w:ascii="仿宋_GB2312" w:hAnsi="仿宋_GB2312" w:eastAsia="仿宋_GB2312" w:cs="仿宋_GB2312"/>
                <w:color w:val="000000"/>
                <w:sz w:val="28"/>
                <w:szCs w:val="28"/>
                <w:highlight w:val="none"/>
                <w:lang w:eastAsia="zh-CN"/>
              </w:rPr>
              <w:t>）裸纤承诺实现端到端物理链路隔离，确保其传输介质在物理层面上与其他网络架构无任何交叉连接或共享资源，全程禁止与异构网络设备（如第三方交换机、路由器等）建立物理或逻辑链路关联，以保障传输通道的完全独占性和信号完整性。</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A21E">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38AA1CFA">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2401107B">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5BF182D0">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7F96B241">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7BAD8E29">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0A378142">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70FFCF54">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rPr>
              <w:t>1年</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4684">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52C6BAB3">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51C02F40">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79C7986C">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78D5521B">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343AAB79">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777B30E9">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382A7DE2">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rPr>
              <w:t>2</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9BDF">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36DFBFBC">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483482C5">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4937C8C2">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184093E1">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20518CE8">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6892D300">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0D32757B">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rPr>
              <w:t>条</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每条2芯</w:t>
            </w:r>
            <w:r>
              <w:rPr>
                <w:rFonts w:hint="eastAsia" w:ascii="仿宋_GB2312" w:hAnsi="仿宋_GB2312" w:eastAsia="仿宋_GB2312" w:cs="仿宋_GB2312"/>
                <w:color w:val="000000"/>
                <w:sz w:val="28"/>
                <w:szCs w:val="28"/>
                <w:lang w:eastAsia="zh-CN"/>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43A7">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000000"/>
                <w:sz w:val="28"/>
                <w:szCs w:val="28"/>
              </w:rPr>
            </w:pPr>
          </w:p>
        </w:tc>
      </w:tr>
      <w:tr w14:paraId="41248FE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B424">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16055B14">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28E5309E">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59E19216">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7B9B18FD">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000000"/>
                <w:sz w:val="28"/>
                <w:szCs w:val="28"/>
                <w:lang w:val="en-US" w:eastAsia="zh-CN"/>
              </w:rPr>
              <w:t>2</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C6A6">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2A36A180">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64D1D17E">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288D9D73">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715EC1DA">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000000"/>
                <w:sz w:val="28"/>
                <w:szCs w:val="28"/>
              </w:rPr>
              <w:t>互联网专线服务</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角美镇温泉路1号九龙江流域中心</w:t>
            </w:r>
            <w:r>
              <w:rPr>
                <w:rFonts w:hint="eastAsia" w:ascii="仿宋_GB2312" w:hAnsi="仿宋_GB2312" w:eastAsia="仿宋_GB2312" w:cs="仿宋_GB2312"/>
                <w:color w:val="000000"/>
                <w:sz w:val="28"/>
                <w:szCs w:val="28"/>
                <w:lang w:eastAsia="zh-CN"/>
              </w:rPr>
              <w:t>）</w:t>
            </w:r>
          </w:p>
        </w:tc>
        <w:tc>
          <w:tcPr>
            <w:tcW w:w="7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771B">
            <w:pPr>
              <w:keepNext w:val="0"/>
              <w:keepLines w:val="0"/>
              <w:pageBreakBefore w:val="0"/>
              <w:widowControl w:val="0"/>
              <w:kinsoku/>
              <w:wordWrap/>
              <w:overflowPunct/>
              <w:topLinePunct w:val="0"/>
              <w:autoSpaceDE/>
              <w:autoSpaceDN/>
              <w:bidi w:val="0"/>
              <w:adjustRightInd/>
              <w:snapToGrid/>
              <w:spacing w:after="0" w:line="300" w:lineRule="exact"/>
              <w:ind w:right="114"/>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专线接入至汇聚层，所提供的上下行带宽为独享100M带宽，上下行对称。</w:t>
            </w:r>
          </w:p>
          <w:p w14:paraId="79E095E6">
            <w:pPr>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宽带平均时延：≤20MS</w:t>
            </w:r>
          </w:p>
          <w:p w14:paraId="47FA7F75">
            <w:pPr>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宽带丢包率：≤0.5％</w:t>
            </w:r>
          </w:p>
          <w:p w14:paraId="773A84AF">
            <w:pPr>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宽带月可用率：≥99.9％</w:t>
            </w:r>
          </w:p>
          <w:p w14:paraId="7C76708D">
            <w:pPr>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dns解析成功率≥99％</w:t>
            </w:r>
          </w:p>
          <w:p w14:paraId="257EDD85">
            <w:pPr>
              <w:keepNext w:val="0"/>
              <w:keepLines w:val="0"/>
              <w:pageBreakBefore w:val="0"/>
              <w:widowControl w:val="0"/>
              <w:kinsoku/>
              <w:wordWrap/>
              <w:overflowPunct/>
              <w:topLinePunct w:val="0"/>
              <w:autoSpaceDE/>
              <w:autoSpaceDN/>
              <w:bidi w:val="0"/>
              <w:adjustRightInd/>
              <w:snapToGrid/>
              <w:spacing w:after="0" w:line="300" w:lineRule="exact"/>
              <w:ind w:right="934" w:rightChars="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dns解析时延达标率≥90％，时延门限10ms。</w:t>
            </w:r>
          </w:p>
          <w:p w14:paraId="1C0D2DC3">
            <w:pPr>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highlight w:val="none"/>
                <w:lang w:val="en-US" w:eastAsia="zh-CN"/>
              </w:rPr>
              <w:t>为保证业务连续可用，所投服务厂商具有互联网 DDoS 攻击流量清洗服务能力，符合抗拒绝服务攻击产品EAL3 增强级的检测要求。供应商承诺所投产品通过信息产业信息安全测评中心检测。</w:t>
            </w:r>
          </w:p>
          <w:p w14:paraId="1730908B">
            <w:pPr>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hint="default" w:ascii="仿宋_GB2312" w:hAnsi="仿宋_GB2312" w:eastAsia="仿宋_GB2312" w:cs="仿宋_GB2312"/>
                <w:color w:val="000000"/>
                <w:sz w:val="28"/>
                <w:szCs w:val="28"/>
                <w:highlight w:val="yellow"/>
                <w:lang w:val="en-US" w:eastAsia="zh-CN"/>
              </w:rPr>
            </w:pPr>
            <w:r>
              <w:rPr>
                <w:rFonts w:hint="eastAsia" w:ascii="仿宋_GB2312" w:hAnsi="仿宋_GB2312" w:eastAsia="仿宋_GB2312" w:cs="仿宋_GB2312"/>
                <w:color w:val="000000"/>
                <w:sz w:val="28"/>
                <w:szCs w:val="28"/>
                <w:highlight w:val="none"/>
                <w:lang w:val="en-US" w:eastAsia="zh-CN"/>
              </w:rPr>
              <w:t>8、提供固定IP，在用户侧安装光电转换器，通过光电转换的方式接入园区交换机/汇聚交换机/MSE，实现网络接入。可独享汇聚交换机/MSE端口，不与公众宽带混用接入。</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AA83">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78B25FC6">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7649FC96">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746503B6">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0D0C0DC4">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rPr>
              <w:t>1年</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F0DC">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76DE9A1D">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59026E6F">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596DF5BC">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155B16FD">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rPr>
              <w:t>1</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02F1">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684C45BF">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633B62A9">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6D100101">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65E9CEAD">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rPr>
              <w:t>条</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ED39">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000000"/>
                <w:sz w:val="28"/>
                <w:szCs w:val="28"/>
              </w:rPr>
            </w:pPr>
          </w:p>
        </w:tc>
      </w:tr>
      <w:tr w14:paraId="027C2D1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vAlign w:val="center"/>
          </w:tcPr>
          <w:p w14:paraId="222BDC08">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000000"/>
                <w:sz w:val="28"/>
                <w:szCs w:val="28"/>
                <w:lang w:val="en-US" w:eastAsia="zh-CN"/>
              </w:rPr>
              <w:t>3</w:t>
            </w:r>
          </w:p>
        </w:tc>
        <w:tc>
          <w:tcPr>
            <w:tcW w:w="3571" w:type="dxa"/>
            <w:tcBorders>
              <w:top w:val="single" w:color="000000" w:sz="4" w:space="0"/>
              <w:left w:val="single" w:color="000000" w:sz="4" w:space="0"/>
              <w:bottom w:val="single" w:color="000000" w:sz="4" w:space="0"/>
              <w:right w:val="single" w:color="000000" w:sz="4" w:space="0"/>
            </w:tcBorders>
            <w:vAlign w:val="center"/>
          </w:tcPr>
          <w:p w14:paraId="587689E5">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海沧新阳办公点（</w:t>
            </w:r>
            <w:r>
              <w:rPr>
                <w:rFonts w:hint="eastAsia" w:ascii="仿宋_GB2312" w:hAnsi="仿宋_GB2312" w:eastAsia="仿宋_GB2312" w:cs="仿宋_GB2312"/>
                <w:color w:val="000000"/>
                <w:sz w:val="28"/>
                <w:szCs w:val="28"/>
              </w:rPr>
              <w:t>固定电话</w:t>
            </w:r>
            <w:r>
              <w:rPr>
                <w:rFonts w:hint="eastAsia" w:ascii="仿宋_GB2312" w:hAnsi="仿宋_GB2312" w:eastAsia="仿宋_GB2312" w:cs="仿宋_GB2312"/>
                <w:color w:val="000000"/>
                <w:sz w:val="28"/>
                <w:szCs w:val="28"/>
                <w:lang w:val="en-US" w:eastAsia="zh-CN"/>
              </w:rPr>
              <w:t>1部、</w:t>
            </w:r>
          </w:p>
          <w:p w14:paraId="4F6316A1">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手机号卡</w:t>
            </w:r>
            <w:r>
              <w:rPr>
                <w:rFonts w:hint="eastAsia" w:ascii="仿宋_GB2312" w:hAnsi="仿宋_GB2312" w:eastAsia="仿宋_GB2312" w:cs="仿宋_GB2312"/>
                <w:color w:val="000000"/>
                <w:sz w:val="28"/>
                <w:szCs w:val="28"/>
                <w:lang w:val="en-US" w:eastAsia="zh-CN"/>
              </w:rPr>
              <w:t>1张、</w:t>
            </w:r>
          </w:p>
          <w:p w14:paraId="72F6F1A9">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lang w:val="en-US" w:eastAsia="zh-CN"/>
              </w:rPr>
              <w:t>宽带2条）业务代办</w:t>
            </w:r>
          </w:p>
        </w:tc>
        <w:tc>
          <w:tcPr>
            <w:tcW w:w="7136" w:type="dxa"/>
            <w:tcBorders>
              <w:top w:val="single" w:color="000000" w:sz="4" w:space="0"/>
              <w:left w:val="single" w:color="000000" w:sz="4" w:space="0"/>
              <w:bottom w:val="single" w:color="000000" w:sz="4" w:space="0"/>
              <w:right w:val="single" w:color="000000" w:sz="4" w:space="0"/>
            </w:tcBorders>
            <w:vAlign w:val="center"/>
          </w:tcPr>
          <w:p w14:paraId="05707235">
            <w:pPr>
              <w:keepNext w:val="0"/>
              <w:keepLines w:val="0"/>
              <w:pageBreakBefore w:val="0"/>
              <w:widowControl w:val="0"/>
              <w:numPr>
                <w:ilvl w:val="0"/>
                <w:numId w:val="1"/>
              </w:numPr>
              <w:kinsoku/>
              <w:wordWrap/>
              <w:overflowPunct/>
              <w:topLinePunct w:val="0"/>
              <w:autoSpaceDE/>
              <w:autoSpaceDN/>
              <w:bidi w:val="0"/>
              <w:adjustRightInd/>
              <w:snapToGrid/>
              <w:spacing w:after="0" w:line="300" w:lineRule="exact"/>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提供高质量的固话语音通话服务。</w:t>
            </w:r>
          </w:p>
          <w:p w14:paraId="43F9562C">
            <w:pPr>
              <w:keepNext w:val="0"/>
              <w:keepLines w:val="0"/>
              <w:pageBreakBefore w:val="0"/>
              <w:widowControl w:val="0"/>
              <w:numPr>
                <w:ilvl w:val="0"/>
                <w:numId w:val="1"/>
              </w:numPr>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lang w:val="en-US" w:eastAsia="zh-CN"/>
              </w:rPr>
              <w:t>手机号卡</w:t>
            </w:r>
            <w:r>
              <w:rPr>
                <w:rFonts w:hint="eastAsia" w:ascii="仿宋_GB2312" w:hAnsi="仿宋_GB2312" w:eastAsia="仿宋_GB2312" w:cs="仿宋_GB2312"/>
                <w:color w:val="000000"/>
                <w:sz w:val="28"/>
                <w:szCs w:val="28"/>
              </w:rPr>
              <w:t>与固定电话绑定同时响铃</w:t>
            </w:r>
          </w:p>
          <w:p w14:paraId="09E74ED7">
            <w:pPr>
              <w:keepNext w:val="0"/>
              <w:keepLines w:val="0"/>
              <w:pageBreakBefore w:val="0"/>
              <w:widowControl w:val="0"/>
              <w:numPr>
                <w:ilvl w:val="0"/>
                <w:numId w:val="1"/>
              </w:numPr>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lang w:val="en-US" w:eastAsia="zh-CN"/>
              </w:rPr>
              <w:t>两条宽带参数分别为一条</w:t>
            </w:r>
            <w:r>
              <w:rPr>
                <w:rFonts w:hint="eastAsia" w:ascii="仿宋_GB2312" w:hAnsi="仿宋_GB2312" w:eastAsia="仿宋_GB2312" w:cs="仿宋_GB2312"/>
                <w:color w:val="000000"/>
                <w:sz w:val="28"/>
                <w:szCs w:val="28"/>
              </w:rPr>
              <w:t>上行30M，下行1000M，动态IP</w:t>
            </w:r>
            <w:r>
              <w:rPr>
                <w:rFonts w:hint="eastAsia" w:ascii="仿宋_GB2312" w:hAnsi="仿宋_GB2312" w:eastAsia="仿宋_GB2312" w:cs="仿宋_GB2312"/>
                <w:color w:val="000000"/>
                <w:sz w:val="28"/>
                <w:szCs w:val="28"/>
                <w:lang w:val="en-US" w:eastAsia="zh-CN"/>
              </w:rPr>
              <w:t>及一条</w:t>
            </w:r>
            <w:r>
              <w:rPr>
                <w:rFonts w:hint="eastAsia" w:ascii="仿宋_GB2312" w:hAnsi="仿宋_GB2312" w:eastAsia="仿宋_GB2312" w:cs="仿宋_GB2312"/>
                <w:color w:val="000000"/>
                <w:sz w:val="28"/>
                <w:szCs w:val="28"/>
              </w:rPr>
              <w:t>上行20M，下行100M，动态IP</w:t>
            </w:r>
            <w:r>
              <w:rPr>
                <w:rFonts w:hint="eastAsia" w:ascii="仿宋_GB2312" w:hAnsi="仿宋_GB2312" w:eastAsia="仿宋_GB2312" w:cs="仿宋_GB2312"/>
                <w:color w:val="000000"/>
                <w:sz w:val="28"/>
                <w:szCs w:val="28"/>
                <w:lang w:eastAsia="zh-CN"/>
              </w:rPr>
              <w:t>。</w:t>
            </w:r>
          </w:p>
          <w:p w14:paraId="1AD968F8">
            <w:pPr>
              <w:keepNext w:val="0"/>
              <w:keepLines w:val="0"/>
              <w:pageBreakBefore w:val="0"/>
              <w:widowControl w:val="0"/>
              <w:numPr>
                <w:ilvl w:val="0"/>
                <w:numId w:val="1"/>
              </w:numPr>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供应商保证采购方新阳办公点除宽带以外的其他通讯业务的号码拨出及接入时不变。</w:t>
            </w:r>
            <w:bookmarkStart w:id="0" w:name="_GoBack"/>
            <w:bookmarkEnd w:id="0"/>
          </w:p>
          <w:p w14:paraId="40729741">
            <w:pPr>
              <w:keepNext w:val="0"/>
              <w:keepLines w:val="0"/>
              <w:pageBreakBefore w:val="0"/>
              <w:widowControl w:val="0"/>
              <w:numPr>
                <w:numId w:val="0"/>
              </w:numPr>
              <w:kinsoku/>
              <w:wordWrap/>
              <w:overflowPunct/>
              <w:topLinePunct w:val="0"/>
              <w:autoSpaceDE/>
              <w:autoSpaceDN/>
              <w:bidi w:val="0"/>
              <w:adjustRightInd/>
              <w:snapToGrid/>
              <w:spacing w:after="0" w:line="300" w:lineRule="exact"/>
              <w:ind w:leftChars="0"/>
              <w:jc w:val="left"/>
              <w:textAlignment w:val="auto"/>
              <w:rPr>
                <w:rFonts w:hint="default" w:ascii="仿宋_GB2312" w:hAnsi="仿宋_GB2312" w:eastAsia="仿宋_GB2312" w:cs="仿宋_GB2312"/>
                <w:color w:val="000000"/>
                <w:sz w:val="28"/>
                <w:szCs w:val="28"/>
                <w:highlight w:val="none"/>
                <w:lang w:val="en-US"/>
              </w:rPr>
            </w:pPr>
          </w:p>
        </w:tc>
        <w:tc>
          <w:tcPr>
            <w:tcW w:w="590" w:type="dxa"/>
            <w:tcBorders>
              <w:top w:val="single" w:color="000000" w:sz="4" w:space="0"/>
              <w:left w:val="single" w:color="000000" w:sz="4" w:space="0"/>
              <w:bottom w:val="single" w:color="000000" w:sz="4" w:space="0"/>
              <w:right w:val="single" w:color="000000" w:sz="4" w:space="0"/>
            </w:tcBorders>
            <w:vAlign w:val="center"/>
          </w:tcPr>
          <w:p w14:paraId="3EDF2B1E">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lang w:val="en-US" w:eastAsia="zh-CN"/>
              </w:rPr>
              <w:t>1年</w:t>
            </w:r>
          </w:p>
        </w:tc>
        <w:tc>
          <w:tcPr>
            <w:tcW w:w="358" w:type="dxa"/>
            <w:tcBorders>
              <w:top w:val="single" w:color="000000" w:sz="4" w:space="0"/>
              <w:left w:val="single" w:color="000000" w:sz="4" w:space="0"/>
              <w:bottom w:val="single" w:color="000000" w:sz="4" w:space="0"/>
              <w:right w:val="single" w:color="000000" w:sz="4" w:space="0"/>
            </w:tcBorders>
            <w:vAlign w:val="center"/>
          </w:tcPr>
          <w:p w14:paraId="5A8E1038">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lang w:val="en-US" w:eastAsia="zh-CN"/>
              </w:rPr>
              <w:t>1</w:t>
            </w:r>
          </w:p>
        </w:tc>
        <w:tc>
          <w:tcPr>
            <w:tcW w:w="983" w:type="dxa"/>
            <w:tcBorders>
              <w:top w:val="single" w:color="000000" w:sz="4" w:space="0"/>
              <w:left w:val="single" w:color="000000" w:sz="4" w:space="0"/>
              <w:bottom w:val="single" w:color="000000" w:sz="4" w:space="0"/>
              <w:right w:val="single" w:color="000000" w:sz="4" w:space="0"/>
            </w:tcBorders>
            <w:vAlign w:val="center"/>
          </w:tcPr>
          <w:p w14:paraId="070C8CB9">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000000"/>
                <w:sz w:val="28"/>
                <w:szCs w:val="28"/>
                <w:highlight w:val="none"/>
              </w:rPr>
            </w:pPr>
          </w:p>
        </w:tc>
        <w:tc>
          <w:tcPr>
            <w:tcW w:w="995" w:type="dxa"/>
            <w:tcBorders>
              <w:top w:val="single" w:color="000000" w:sz="4" w:space="0"/>
              <w:left w:val="single" w:color="000000" w:sz="4" w:space="0"/>
              <w:bottom w:val="single" w:color="000000" w:sz="4" w:space="0"/>
              <w:right w:val="single" w:color="000000" w:sz="4" w:space="0"/>
            </w:tcBorders>
            <w:vAlign w:val="center"/>
          </w:tcPr>
          <w:p w14:paraId="350782E2">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000000"/>
                <w:sz w:val="28"/>
                <w:szCs w:val="28"/>
                <w:highlight w:val="none"/>
              </w:rPr>
            </w:pPr>
          </w:p>
        </w:tc>
      </w:tr>
      <w:tr w14:paraId="248EAF6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AF4E">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000000"/>
                <w:sz w:val="28"/>
                <w:szCs w:val="28"/>
                <w:lang w:val="en-US" w:eastAsia="zh-CN"/>
              </w:rPr>
              <w:t>4</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66AB">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000000"/>
                <w:sz w:val="28"/>
                <w:szCs w:val="28"/>
                <w:lang w:val="en-US" w:eastAsia="zh-CN"/>
              </w:rPr>
            </w:pPr>
          </w:p>
          <w:p w14:paraId="29129D41">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lang w:val="en-US" w:eastAsia="zh-CN"/>
              </w:rPr>
              <w:t>防汛卫星电话卡</w:t>
            </w:r>
          </w:p>
        </w:tc>
        <w:tc>
          <w:tcPr>
            <w:tcW w:w="7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06EB">
            <w:pPr>
              <w:keepNext w:val="0"/>
              <w:keepLines w:val="0"/>
              <w:pageBreakBefore w:val="0"/>
              <w:widowControl w:val="0"/>
              <w:numPr>
                <w:ilvl w:val="0"/>
                <w:numId w:val="2"/>
              </w:numPr>
              <w:kinsoku/>
              <w:wordWrap/>
              <w:overflowPunct/>
              <w:topLinePunct w:val="0"/>
              <w:autoSpaceDE/>
              <w:autoSpaceDN/>
              <w:bidi w:val="0"/>
              <w:adjustRightInd/>
              <w:snapToGrid/>
              <w:spacing w:after="0" w:line="300" w:lineRule="exact"/>
              <w:ind w:firstLine="126"/>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卫星语音通话功能：750分钟</w:t>
            </w:r>
          </w:p>
          <w:p w14:paraId="378E7791">
            <w:pPr>
              <w:keepNext w:val="0"/>
              <w:keepLines w:val="0"/>
              <w:pageBreakBefore w:val="0"/>
              <w:widowControl w:val="0"/>
              <w:numPr>
                <w:ilvl w:val="0"/>
                <w:numId w:val="2"/>
              </w:numPr>
              <w:kinsoku/>
              <w:wordWrap/>
              <w:overflowPunct/>
              <w:topLinePunct w:val="0"/>
              <w:autoSpaceDE/>
              <w:autoSpaceDN/>
              <w:bidi w:val="0"/>
              <w:adjustRightInd/>
              <w:snapToGrid/>
              <w:spacing w:after="0" w:line="300" w:lineRule="exact"/>
              <w:ind w:firstLine="126" w:firstLineChars="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lang w:val="en-US" w:eastAsia="zh-CN"/>
              </w:rPr>
              <w:t>支持国内卫星短信收发功能，能够实时发送带有经纬度位置信息：100条</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A810">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000000"/>
                <w:sz w:val="28"/>
                <w:szCs w:val="28"/>
                <w:lang w:val="en-US" w:eastAsia="zh-CN"/>
              </w:rPr>
            </w:pPr>
          </w:p>
          <w:p w14:paraId="7704585A">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000000"/>
                <w:sz w:val="28"/>
                <w:szCs w:val="28"/>
                <w:lang w:val="en-US" w:eastAsia="zh-CN"/>
              </w:rPr>
            </w:pPr>
          </w:p>
          <w:p w14:paraId="6065E467">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lang w:val="en-US" w:eastAsia="zh-CN"/>
              </w:rPr>
              <w:t>1年</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AF5F">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000000"/>
                <w:sz w:val="28"/>
                <w:szCs w:val="28"/>
                <w:lang w:val="en-US" w:eastAsia="zh-CN"/>
              </w:rPr>
            </w:pPr>
          </w:p>
          <w:p w14:paraId="654D7DDA">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000000"/>
                <w:sz w:val="28"/>
                <w:szCs w:val="28"/>
                <w:lang w:val="en-US" w:eastAsia="zh-CN"/>
              </w:rPr>
            </w:pPr>
          </w:p>
          <w:p w14:paraId="116EF7D9">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lang w:val="en-US" w:eastAsia="zh-CN"/>
              </w:rPr>
              <w:t>3</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C9CF">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000000"/>
                <w:sz w:val="28"/>
                <w:szCs w:val="28"/>
                <w:lang w:val="en-US" w:eastAsia="zh-CN"/>
              </w:rPr>
            </w:pPr>
          </w:p>
          <w:p w14:paraId="3860954B">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000000"/>
                <w:sz w:val="28"/>
                <w:szCs w:val="28"/>
                <w:lang w:val="en-US" w:eastAsia="zh-CN"/>
              </w:rPr>
            </w:pPr>
          </w:p>
          <w:p w14:paraId="5CB7CC86">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lang w:val="en-US" w:eastAsia="zh-CN"/>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E453">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000000"/>
                <w:sz w:val="28"/>
                <w:szCs w:val="28"/>
                <w:lang w:val="en-US" w:eastAsia="zh-CN"/>
              </w:rPr>
            </w:pPr>
          </w:p>
        </w:tc>
      </w:tr>
      <w:tr w14:paraId="1985EE7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A4C8">
            <w:pPr>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jc w:val="center"/>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000000"/>
                <w:sz w:val="28"/>
                <w:szCs w:val="28"/>
                <w:lang w:val="en-US" w:eastAsia="zh-CN"/>
              </w:rPr>
              <w:t>5</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92AB">
            <w:pPr>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通讯费用</w:t>
            </w:r>
            <w:r>
              <w:rPr>
                <w:rFonts w:hint="eastAsia" w:ascii="仿宋_GB2312" w:hAnsi="仿宋_GB2312" w:eastAsia="仿宋_GB2312" w:cs="仿宋_GB2312"/>
                <w:i w:val="0"/>
                <w:iCs w:val="0"/>
                <w:caps w:val="0"/>
                <w:color w:val="333333"/>
                <w:spacing w:val="0"/>
                <w:sz w:val="28"/>
                <w:szCs w:val="28"/>
                <w:shd w:val="clear" w:fill="FFFFFF"/>
                <w:lang w:val="en-US" w:eastAsia="zh-CN"/>
              </w:rPr>
              <w:t>暂列</w:t>
            </w:r>
            <w:r>
              <w:rPr>
                <w:rFonts w:hint="eastAsia" w:ascii="仿宋_GB2312" w:hAnsi="仿宋_GB2312" w:eastAsia="仿宋_GB2312" w:cs="仿宋_GB2312"/>
                <w:color w:val="000000"/>
                <w:sz w:val="28"/>
                <w:szCs w:val="28"/>
                <w:highlight w:val="none"/>
                <w:lang w:val="en-US" w:eastAsia="zh-CN"/>
              </w:rPr>
              <w:t>金</w:t>
            </w:r>
          </w:p>
        </w:tc>
        <w:tc>
          <w:tcPr>
            <w:tcW w:w="7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7836">
            <w:pPr>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lang w:val="en-US" w:eastAsia="zh-CN"/>
              </w:rPr>
              <w:t>用于超出套餐部分的通讯等费用，若实际发生费用超过5000元，采购人与中选人双方另行协商并签订补充协议，且补充协议金额不超过中选价10%；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17E0">
            <w:pPr>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jc w:val="center"/>
              <w:textAlignment w:val="auto"/>
              <w:rPr>
                <w:rFonts w:hint="eastAsia" w:ascii="仿宋_GB2312" w:hAnsi="仿宋_GB2312" w:eastAsia="仿宋_GB2312" w:cs="仿宋_GB2312"/>
                <w:sz w:val="28"/>
                <w:szCs w:val="28"/>
                <w:highlight w:val="none"/>
              </w:rPr>
            </w:pP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A3BB">
            <w:pPr>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jc w:val="center"/>
              <w:textAlignment w:val="auto"/>
              <w:rPr>
                <w:rFonts w:hint="eastAsia" w:ascii="仿宋_GB2312" w:hAnsi="仿宋_GB2312" w:eastAsia="仿宋_GB2312" w:cs="仿宋_GB2312"/>
                <w:sz w:val="28"/>
                <w:szCs w:val="28"/>
                <w:highlight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3523">
            <w:pPr>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jc w:val="center"/>
              <w:textAlignment w:val="auto"/>
              <w:rPr>
                <w:rFonts w:hint="eastAsia" w:ascii="仿宋_GB2312" w:hAnsi="仿宋_GB2312" w:eastAsia="仿宋_GB2312" w:cs="仿宋_GB2312"/>
                <w:color w:val="000000"/>
                <w:sz w:val="28"/>
                <w:szCs w:val="28"/>
                <w:highlight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ED4F">
            <w:pPr>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5000</w:t>
            </w:r>
          </w:p>
        </w:tc>
      </w:tr>
      <w:tr w14:paraId="2272C6F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24" w:hRule="atLeast"/>
        </w:trPr>
        <w:tc>
          <w:tcPr>
            <w:tcW w:w="139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0689A92">
            <w:pPr>
              <w:keepNext w:val="0"/>
              <w:keepLines w:val="0"/>
              <w:pageBreakBefore w:val="0"/>
              <w:widowControl w:val="0"/>
              <w:kinsoku/>
              <w:overflowPunct/>
              <w:topLinePunct w:val="0"/>
              <w:autoSpaceDE/>
              <w:autoSpaceDN/>
              <w:bidi w:val="0"/>
              <w:adjustRightInd/>
              <w:snapToGrid/>
              <w:spacing w:after="0" w:line="400" w:lineRule="exact"/>
              <w:ind w:left="0" w:right="0"/>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合计报价：</w:t>
            </w:r>
            <w:r>
              <w:rPr>
                <w:rFonts w:hint="eastAsia" w:ascii="仿宋_GB2312" w:hAnsi="仿宋_GB2312" w:eastAsia="仿宋_GB2312" w:cs="仿宋_GB2312"/>
                <w:i w:val="0"/>
                <w:iCs w:val="0"/>
                <w:caps w:val="0"/>
                <w:color w:val="333333"/>
                <w:spacing w:val="0"/>
                <w:sz w:val="28"/>
                <w:szCs w:val="28"/>
                <w:u w:val="single"/>
                <w:shd w:val="clear" w:fill="FFFFFF"/>
              </w:rPr>
              <w:t>                    </w:t>
            </w:r>
            <w:r>
              <w:rPr>
                <w:rFonts w:hint="eastAsia" w:ascii="仿宋_GB2312" w:hAnsi="仿宋_GB2312" w:eastAsia="仿宋_GB2312" w:cs="仿宋_GB2312"/>
                <w:i w:val="0"/>
                <w:iCs w:val="0"/>
                <w:caps w:val="0"/>
                <w:color w:val="333333"/>
                <w:spacing w:val="0"/>
                <w:sz w:val="28"/>
                <w:szCs w:val="28"/>
                <w:shd w:val="clear" w:fill="FFFFFF"/>
              </w:rPr>
              <w:t>（大写）</w:t>
            </w:r>
            <w:r>
              <w:rPr>
                <w:rFonts w:hint="eastAsia" w:ascii="仿宋_GB2312" w:hAnsi="仿宋_GB2312" w:eastAsia="仿宋_GB2312" w:cs="仿宋_GB2312"/>
                <w:i w:val="0"/>
                <w:iCs w:val="0"/>
                <w:caps w:val="0"/>
                <w:color w:val="333333"/>
                <w:spacing w:val="0"/>
                <w:sz w:val="28"/>
                <w:szCs w:val="28"/>
                <w:u w:val="single"/>
                <w:shd w:val="clear" w:fill="FFFFFF"/>
              </w:rPr>
              <w:t>       </w:t>
            </w:r>
            <w:r>
              <w:rPr>
                <w:rFonts w:hint="eastAsia" w:ascii="仿宋_GB2312" w:hAnsi="仿宋_GB2312" w:eastAsia="仿宋_GB2312" w:cs="仿宋_GB2312"/>
                <w:i w:val="0"/>
                <w:iCs w:val="0"/>
                <w:caps w:val="0"/>
                <w:color w:val="333333"/>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u w:val="single"/>
                <w:shd w:val="clear" w:fill="FFFFFF"/>
              </w:rPr>
              <w:t>      </w:t>
            </w:r>
            <w:r>
              <w:rPr>
                <w:rFonts w:hint="eastAsia" w:ascii="仿宋_GB2312" w:hAnsi="仿宋_GB2312" w:eastAsia="仿宋_GB2312" w:cs="仿宋_GB2312"/>
                <w:i w:val="0"/>
                <w:iCs w:val="0"/>
                <w:caps w:val="0"/>
                <w:color w:val="333333"/>
                <w:spacing w:val="0"/>
                <w:sz w:val="28"/>
                <w:szCs w:val="28"/>
                <w:shd w:val="clear" w:fill="FFFFFF"/>
              </w:rPr>
              <w:t>元</w:t>
            </w:r>
          </w:p>
        </w:tc>
      </w:tr>
      <w:tr w14:paraId="7F35DDC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0" w:hRule="atLeast"/>
        </w:trPr>
        <w:tc>
          <w:tcPr>
            <w:tcW w:w="139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0300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hanging="843" w:hangingChars="3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Style w:val="8"/>
                <w:rFonts w:hint="eastAsia" w:ascii="仿宋_GB2312" w:hAnsi="仿宋_GB2312" w:eastAsia="仿宋_GB2312" w:cs="仿宋_GB2312"/>
                <w:i w:val="0"/>
                <w:iCs w:val="0"/>
                <w:caps w:val="0"/>
                <w:color w:val="333333"/>
                <w:spacing w:val="0"/>
                <w:sz w:val="28"/>
                <w:szCs w:val="28"/>
                <w:shd w:val="clear" w:fill="FFFFFF"/>
              </w:rPr>
              <w:t>说明：</w:t>
            </w:r>
            <w:r>
              <w:rPr>
                <w:rFonts w:hint="eastAsia" w:ascii="仿宋_GB2312" w:hAnsi="仿宋_GB2312" w:eastAsia="仿宋_GB2312" w:cs="仿宋_GB2312"/>
                <w:i w:val="0"/>
                <w:iCs w:val="0"/>
                <w:caps w:val="0"/>
                <w:color w:val="333333"/>
                <w:spacing w:val="0"/>
                <w:sz w:val="28"/>
                <w:szCs w:val="28"/>
                <w:shd w:val="clear" w:fill="FFFFFF"/>
              </w:rPr>
              <w:t>（1）报价应包含上述服务以及相关税费等一切费用；</w:t>
            </w:r>
          </w:p>
          <w:p w14:paraId="0B7861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840" w:firstLineChars="300"/>
              <w:jc w:val="both"/>
              <w:textAlignment w:val="auto"/>
              <w:rPr>
                <w:rFonts w:hint="default"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2</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第5项“通讯费用暂列金”为不可竞争项，用于超出套餐部分的通讯等费用，若实际发生费用超过5000元，采购人与中选人双方另行协商并签订补充协议，且补充协议金额不超过中选价10%；</w:t>
            </w:r>
          </w:p>
          <w:p w14:paraId="68BCDA3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rightChars="0" w:firstLine="840" w:firstLineChars="30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（3）请根据报价表逐项报价并填写合计报价，漏填或逐项报价合计总额与合计报价不一致的以合计报价为准，合计报价大小写不一致的以大写为准；</w:t>
            </w:r>
          </w:p>
          <w:p w14:paraId="49C8B53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rightChars="0" w:firstLine="840" w:firstLineChars="30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kern w:val="0"/>
                <w:sz w:val="28"/>
                <w:szCs w:val="28"/>
                <w:lang w:val="en-US" w:eastAsia="zh-CN" w:bidi="ar"/>
              </w:rPr>
              <w:t>（4）</w:t>
            </w:r>
            <w:r>
              <w:rPr>
                <w:rFonts w:hint="eastAsia" w:ascii="仿宋_GB2312" w:hAnsi="仿宋_GB2312" w:eastAsia="仿宋_GB2312" w:cs="仿宋_GB2312"/>
                <w:i w:val="0"/>
                <w:iCs w:val="0"/>
                <w:caps w:val="0"/>
                <w:color w:val="333333"/>
                <w:spacing w:val="0"/>
                <w:sz w:val="28"/>
                <w:szCs w:val="28"/>
                <w:shd w:val="clear" w:fill="FFFFFF"/>
                <w:lang w:val="en-US" w:eastAsia="zh-CN"/>
              </w:rPr>
              <w:t>合计报价</w:t>
            </w:r>
            <w:r>
              <w:rPr>
                <w:rFonts w:hint="eastAsia" w:ascii="仿宋_GB2312" w:hAnsi="仿宋_GB2312" w:eastAsia="仿宋_GB2312" w:cs="仿宋_GB2312"/>
                <w:i w:val="0"/>
                <w:iCs w:val="0"/>
                <w:caps w:val="0"/>
                <w:color w:val="333333"/>
                <w:spacing w:val="0"/>
                <w:sz w:val="28"/>
                <w:szCs w:val="28"/>
                <w:shd w:val="clear" w:fill="FFFFFF"/>
              </w:rPr>
              <w:t>超过最高限价的</w:t>
            </w:r>
            <w:r>
              <w:rPr>
                <w:rFonts w:hint="eastAsia" w:ascii="仿宋_GB2312" w:hAnsi="仿宋_GB2312" w:eastAsia="仿宋_GB2312" w:cs="仿宋_GB2312"/>
                <w:i w:val="0"/>
                <w:iCs w:val="0"/>
                <w:caps w:val="0"/>
                <w:color w:val="333333"/>
                <w:spacing w:val="0"/>
                <w:sz w:val="28"/>
                <w:szCs w:val="28"/>
                <w:shd w:val="clear" w:fill="FFFFFF"/>
                <w:lang w:val="en-US" w:eastAsia="zh-CN"/>
              </w:rPr>
              <w:t>视为无效报价。</w:t>
            </w:r>
          </w:p>
          <w:p w14:paraId="10509E3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rightChars="0" w:firstLine="840" w:firstLineChars="30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5）本项目支付期数4期：合同签订生效后10个工作日完成第一期付款，支付合同款项的30%；第四月初考核合格后10个工作日完成第二期付款，支付合同款项的20%；半年考核合格后10个工作日完成第三期付款，支付合同款项的30%；合同结束后10个工作日按实结算并支付合同尾款。</w:t>
            </w:r>
          </w:p>
        </w:tc>
      </w:tr>
    </w:tbl>
    <w:p w14:paraId="1301FB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报价供应商：（盖章）                    </w:t>
      </w:r>
      <w:r>
        <w:rPr>
          <w:rFonts w:hint="eastAsia" w:ascii="仿宋_GB2312" w:hAnsi="仿宋_GB2312" w:eastAsia="仿宋_GB2312" w:cs="仿宋_GB2312"/>
          <w:color w:val="000000"/>
          <w:sz w:val="30"/>
          <w:szCs w:val="30"/>
          <w:lang w:val="en-US" w:eastAsia="zh-CN"/>
        </w:rPr>
        <w:t xml:space="preserve">   </w:t>
      </w:r>
      <w:r>
        <w:rPr>
          <w:rFonts w:hint="eastAsia" w:ascii="仿宋_GB2312" w:hAnsi="仿宋_GB2312" w:eastAsia="仿宋_GB2312" w:cs="仿宋_GB2312"/>
          <w:color w:val="000000"/>
          <w:sz w:val="30"/>
          <w:szCs w:val="30"/>
          <w:lang w:val="en-US" w:eastAsia="zh-CN"/>
        </w:rPr>
        <w:tab/>
      </w:r>
      <w:r>
        <w:rPr>
          <w:rFonts w:hint="eastAsia" w:ascii="仿宋_GB2312" w:hAnsi="仿宋_GB2312" w:eastAsia="仿宋_GB2312" w:cs="仿宋_GB2312"/>
          <w:color w:val="000000"/>
          <w:sz w:val="30"/>
          <w:szCs w:val="30"/>
          <w:lang w:val="en-US" w:eastAsia="zh-CN"/>
        </w:rPr>
        <w:tab/>
      </w:r>
      <w:r>
        <w:rPr>
          <w:rFonts w:hint="eastAsia" w:ascii="仿宋_GB2312" w:hAnsi="仿宋_GB2312" w:eastAsia="仿宋_GB2312" w:cs="仿宋_GB2312"/>
          <w:color w:val="000000"/>
          <w:sz w:val="30"/>
          <w:szCs w:val="30"/>
          <w:lang w:val="en-US" w:eastAsia="zh-CN"/>
        </w:rPr>
        <w:tab/>
      </w:r>
      <w:r>
        <w:rPr>
          <w:rFonts w:hint="eastAsia" w:ascii="仿宋_GB2312" w:hAnsi="仿宋_GB2312" w:eastAsia="仿宋_GB2312" w:cs="仿宋_GB2312"/>
          <w:color w:val="000000"/>
          <w:sz w:val="30"/>
          <w:szCs w:val="30"/>
          <w:lang w:val="en-US" w:eastAsia="zh-CN"/>
        </w:rPr>
        <w:tab/>
      </w:r>
      <w:r>
        <w:rPr>
          <w:rFonts w:hint="eastAsia" w:ascii="仿宋_GB2312" w:hAnsi="仿宋_GB2312" w:eastAsia="仿宋_GB2312" w:cs="仿宋_GB2312"/>
          <w:color w:val="000000"/>
          <w:sz w:val="30"/>
          <w:szCs w:val="30"/>
          <w:lang w:val="en-US" w:eastAsia="zh-CN"/>
        </w:rPr>
        <w:tab/>
      </w:r>
      <w:r>
        <w:rPr>
          <w:rFonts w:hint="eastAsia" w:ascii="仿宋_GB2312" w:hAnsi="仿宋_GB2312" w:eastAsia="仿宋_GB2312" w:cs="仿宋_GB2312"/>
          <w:color w:val="000000"/>
          <w:sz w:val="30"/>
          <w:szCs w:val="30"/>
          <w:lang w:val="en-US" w:eastAsia="zh-CN"/>
        </w:rPr>
        <w:tab/>
      </w:r>
      <w:r>
        <w:rPr>
          <w:rFonts w:hint="eastAsia" w:ascii="仿宋_GB2312" w:hAnsi="仿宋_GB2312" w:eastAsia="仿宋_GB2312" w:cs="仿宋_GB2312"/>
          <w:color w:val="000000"/>
          <w:sz w:val="30"/>
          <w:szCs w:val="30"/>
          <w:lang w:val="en-US" w:eastAsia="zh-CN"/>
        </w:rPr>
        <w:tab/>
      </w:r>
      <w:r>
        <w:rPr>
          <w:rFonts w:hint="eastAsia" w:ascii="仿宋_GB2312" w:hAnsi="仿宋_GB2312" w:eastAsia="仿宋_GB2312" w:cs="仿宋_GB2312"/>
          <w:color w:val="000000"/>
          <w:sz w:val="30"/>
          <w:szCs w:val="30"/>
          <w:lang w:val="en-US" w:eastAsia="zh-CN"/>
        </w:rPr>
        <w:tab/>
      </w:r>
      <w:r>
        <w:rPr>
          <w:rFonts w:hint="eastAsia" w:ascii="仿宋_GB2312" w:hAnsi="仿宋_GB2312" w:eastAsia="仿宋_GB2312" w:cs="仿宋_GB2312"/>
          <w:color w:val="000000"/>
          <w:sz w:val="30"/>
          <w:szCs w:val="30"/>
          <w:lang w:val="en-US" w:eastAsia="zh-CN"/>
        </w:rPr>
        <w:tab/>
      </w:r>
      <w:r>
        <w:rPr>
          <w:rFonts w:hint="eastAsia" w:ascii="仿宋_GB2312" w:hAnsi="仿宋_GB2312" w:eastAsia="仿宋_GB2312" w:cs="仿宋_GB2312"/>
          <w:color w:val="000000"/>
          <w:sz w:val="30"/>
          <w:szCs w:val="30"/>
          <w:lang w:val="en-US" w:eastAsia="zh-CN"/>
        </w:rPr>
        <w:tab/>
      </w:r>
      <w:r>
        <w:rPr>
          <w:rFonts w:hint="eastAsia" w:ascii="仿宋_GB2312" w:hAnsi="仿宋_GB2312" w:eastAsia="仿宋_GB2312" w:cs="仿宋_GB2312"/>
          <w:color w:val="000000"/>
          <w:sz w:val="30"/>
          <w:szCs w:val="30"/>
          <w:lang w:val="en-US" w:eastAsia="zh-CN"/>
        </w:rPr>
        <w:tab/>
      </w:r>
      <w:r>
        <w:rPr>
          <w:rFonts w:hint="eastAsia" w:ascii="仿宋_GB2312" w:hAnsi="仿宋_GB2312" w:eastAsia="仿宋_GB2312" w:cs="仿宋_GB2312"/>
          <w:color w:val="000000"/>
          <w:sz w:val="30"/>
          <w:szCs w:val="30"/>
          <w:lang w:val="en-US" w:eastAsia="zh-CN"/>
        </w:rPr>
        <w:tab/>
      </w:r>
      <w:r>
        <w:rPr>
          <w:rFonts w:hint="eastAsia" w:ascii="仿宋_GB2312" w:hAnsi="仿宋_GB2312" w:eastAsia="仿宋_GB2312" w:cs="仿宋_GB2312"/>
          <w:color w:val="000000"/>
          <w:sz w:val="30"/>
          <w:szCs w:val="30"/>
          <w:lang w:val="en-US" w:eastAsia="zh-CN"/>
        </w:rPr>
        <w:tab/>
      </w:r>
      <w:r>
        <w:rPr>
          <w:rFonts w:hint="eastAsia" w:ascii="仿宋_GB2312" w:hAnsi="仿宋_GB2312" w:eastAsia="仿宋_GB2312" w:cs="仿宋_GB2312"/>
          <w:color w:val="000000"/>
          <w:sz w:val="30"/>
          <w:szCs w:val="30"/>
        </w:rPr>
        <w:t>2025年   </w:t>
      </w:r>
      <w:r>
        <w:rPr>
          <w:rFonts w:hint="eastAsia" w:ascii="仿宋_GB2312" w:hAnsi="仿宋_GB2312" w:eastAsia="仿宋_GB2312" w:cs="仿宋_GB2312"/>
          <w:color w:val="000000"/>
          <w:sz w:val="30"/>
          <w:szCs w:val="30"/>
          <w:lang w:val="en-US" w:eastAsia="zh-CN"/>
        </w:rPr>
        <w:t xml:space="preserve"> </w:t>
      </w:r>
      <w:r>
        <w:rPr>
          <w:rFonts w:hint="eastAsia" w:ascii="仿宋_GB2312" w:hAnsi="仿宋_GB2312" w:eastAsia="仿宋_GB2312" w:cs="仿宋_GB2312"/>
          <w:color w:val="000000"/>
          <w:sz w:val="30"/>
          <w:szCs w:val="30"/>
        </w:rPr>
        <w:t>月   </w:t>
      </w:r>
      <w:r>
        <w:rPr>
          <w:rFonts w:hint="eastAsia" w:ascii="仿宋_GB2312" w:hAnsi="仿宋_GB2312" w:eastAsia="仿宋_GB2312" w:cs="仿宋_GB2312"/>
          <w:color w:val="000000"/>
          <w:sz w:val="30"/>
          <w:szCs w:val="30"/>
          <w:lang w:val="en-US" w:eastAsia="zh-CN"/>
        </w:rPr>
        <w:t xml:space="preserve"> </w:t>
      </w:r>
      <w:r>
        <w:rPr>
          <w:rFonts w:hint="eastAsia" w:ascii="仿宋_GB2312" w:hAnsi="仿宋_GB2312" w:eastAsia="仿宋_GB2312" w:cs="仿宋_GB2312"/>
          <w:color w:val="000000"/>
          <w:sz w:val="30"/>
          <w:szCs w:val="30"/>
        </w:rPr>
        <w:t>日</w:t>
      </w:r>
    </w:p>
    <w:p w14:paraId="1CF443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color w:val="000000"/>
          <w:sz w:val="30"/>
          <w:szCs w:val="30"/>
        </w:rPr>
      </w:pPr>
    </w:p>
    <w:p w14:paraId="4ED5BC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联系人：                        </w:t>
      </w:r>
      <w:r>
        <w:rPr>
          <w:rFonts w:hint="eastAsia" w:ascii="仿宋_GB2312" w:hAnsi="仿宋_GB2312" w:eastAsia="仿宋_GB2312" w:cs="仿宋_GB2312"/>
          <w:color w:val="000000"/>
          <w:sz w:val="30"/>
          <w:szCs w:val="30"/>
          <w:lang w:val="en-US" w:eastAsia="zh-CN"/>
        </w:rPr>
        <w:tab/>
      </w:r>
      <w:r>
        <w:rPr>
          <w:rFonts w:hint="eastAsia" w:ascii="仿宋_GB2312" w:hAnsi="仿宋_GB2312" w:eastAsia="仿宋_GB2312" w:cs="仿宋_GB2312"/>
          <w:color w:val="000000"/>
          <w:sz w:val="30"/>
          <w:szCs w:val="30"/>
          <w:lang w:val="en-US" w:eastAsia="zh-CN"/>
        </w:rPr>
        <w:tab/>
      </w:r>
      <w:r>
        <w:rPr>
          <w:rFonts w:hint="eastAsia" w:ascii="仿宋_GB2312" w:hAnsi="仿宋_GB2312" w:eastAsia="仿宋_GB2312" w:cs="仿宋_GB2312"/>
          <w:color w:val="000000"/>
          <w:sz w:val="30"/>
          <w:szCs w:val="30"/>
        </w:rPr>
        <w:t>联系电话：              </w:t>
      </w:r>
    </w:p>
    <w:sectPr>
      <w:footerReference r:id="rId3" w:type="default"/>
      <w:pgSz w:w="16838" w:h="11906" w:orient="landscape"/>
      <w:pgMar w:top="1417" w:right="1440" w:bottom="1134"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72041EDC-BA7D-446E-B591-F0BB82FB660D}"/>
  </w:font>
  <w:font w:name="仿宋_GB2312">
    <w:panose1 w:val="02010609030101010101"/>
    <w:charset w:val="86"/>
    <w:family w:val="auto"/>
    <w:pitch w:val="default"/>
    <w:sig w:usb0="00000001" w:usb1="080E0000" w:usb2="00000000" w:usb3="00000000" w:csb0="00040000" w:csb1="00000000"/>
    <w:embedRegular r:id="rId2" w:fontKey="{67D2821F-3EF6-400D-AE8B-48811F7A0FFB}"/>
  </w:font>
  <w:font w:name="Cambria Math">
    <w:panose1 w:val="02040503050406030204"/>
    <w:charset w:val="00"/>
    <w:family w:val="auto"/>
    <w:pitch w:val="default"/>
    <w:sig w:usb0="E00006FF" w:usb1="420024FF" w:usb2="02000000" w:usb3="00000000" w:csb0="2000019F" w:csb1="00000000"/>
    <w:embedRegular r:id="rId3" w:fontKey="{E340688A-A134-4604-83DF-DC6F445E877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2723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7AAB3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7AAB3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10A920"/>
    <w:multiLevelType w:val="singleLevel"/>
    <w:tmpl w:val="3910A920"/>
    <w:lvl w:ilvl="0" w:tentative="0">
      <w:start w:val="1"/>
      <w:numFmt w:val="decimal"/>
      <w:suff w:val="nothing"/>
      <w:lvlText w:val="%1、"/>
      <w:lvlJc w:val="left"/>
    </w:lvl>
  </w:abstractNum>
  <w:abstractNum w:abstractNumId="1">
    <w:nsid w:val="7B845409"/>
    <w:multiLevelType w:val="singleLevel"/>
    <w:tmpl w:val="7B84540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5E250D"/>
    <w:rsid w:val="015A1A96"/>
    <w:rsid w:val="01987FE8"/>
    <w:rsid w:val="01B3548D"/>
    <w:rsid w:val="01DA354D"/>
    <w:rsid w:val="02A4436A"/>
    <w:rsid w:val="0B9C363D"/>
    <w:rsid w:val="0C0B33E3"/>
    <w:rsid w:val="0E5F6C59"/>
    <w:rsid w:val="0EE601A7"/>
    <w:rsid w:val="11511862"/>
    <w:rsid w:val="14C769B8"/>
    <w:rsid w:val="16D00A2E"/>
    <w:rsid w:val="17AA618C"/>
    <w:rsid w:val="1A87588C"/>
    <w:rsid w:val="1BC91E25"/>
    <w:rsid w:val="1FCA4E52"/>
    <w:rsid w:val="206C3DA7"/>
    <w:rsid w:val="22EA33B9"/>
    <w:rsid w:val="23D16E71"/>
    <w:rsid w:val="25524495"/>
    <w:rsid w:val="25F20A0B"/>
    <w:rsid w:val="2AF03026"/>
    <w:rsid w:val="2B8F4C31"/>
    <w:rsid w:val="36C13DB6"/>
    <w:rsid w:val="43BF773E"/>
    <w:rsid w:val="49213D0A"/>
    <w:rsid w:val="4A783AE0"/>
    <w:rsid w:val="4CB96DF8"/>
    <w:rsid w:val="4D1E4685"/>
    <w:rsid w:val="516A3A56"/>
    <w:rsid w:val="52986BB8"/>
    <w:rsid w:val="5835754C"/>
    <w:rsid w:val="583C095A"/>
    <w:rsid w:val="59D800F7"/>
    <w:rsid w:val="5B4B26D7"/>
    <w:rsid w:val="5D156A14"/>
    <w:rsid w:val="5EF3152F"/>
    <w:rsid w:val="612E4AA0"/>
    <w:rsid w:val="655E250D"/>
    <w:rsid w:val="65AD1C7E"/>
    <w:rsid w:val="66A902E5"/>
    <w:rsid w:val="685F19E3"/>
    <w:rsid w:val="687A7176"/>
    <w:rsid w:val="69D15430"/>
    <w:rsid w:val="6AE53E49"/>
    <w:rsid w:val="6B882B85"/>
    <w:rsid w:val="6CE769CF"/>
    <w:rsid w:val="6D1B05CF"/>
    <w:rsid w:val="6DA36B4B"/>
    <w:rsid w:val="6FFF36F0"/>
    <w:rsid w:val="70BA3C5B"/>
    <w:rsid w:val="72BF17D4"/>
    <w:rsid w:val="787D1DF3"/>
    <w:rsid w:val="7BF36E1A"/>
    <w:rsid w:val="7C296138"/>
    <w:rsid w:val="7C8A2A48"/>
    <w:rsid w:val="7D974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强调标题"/>
    <w:next w:val="1"/>
    <w:qFormat/>
    <w:uiPriority w:val="0"/>
    <w:pPr>
      <w:spacing w:after="120" w:line="360" w:lineRule="auto"/>
      <w:ind w:firstLine="420" w:firstLineChars="200"/>
      <w:outlineLvl w:val="0"/>
    </w:pPr>
    <w:rPr>
      <w:rFonts w:ascii="Calibri" w:hAnsi="Calibri" w:eastAsia="宋体" w:cs="Times New Roman"/>
      <w:b/>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1141</Words>
  <Characters>1328</Characters>
  <Lines>0</Lines>
  <Paragraphs>0</Paragraphs>
  <TotalTime>0</TotalTime>
  <ScaleCrop>false</ScaleCrop>
  <LinksUpToDate>false</LinksUpToDate>
  <CharactersWithSpaces>1368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2025-07-08T11:19:00Z</dcterms:created>
  <dc:creator>WPS_1702459402</dc:creator>
  <cp:lastModifiedBy>WPS_1702459402</cp:lastModifiedBy>
  <cp:lastPrinted>2025-08-25T02:49:00Z</cp:lastPrinted>
  <dcterms:modified xsi:type="dcterms:W3CDTF">2025-09-05T02:05:46Z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5908B5A0DE7BA20964597668F0B97EA4_43</vt:lpwstr>
  </property>
  <property fmtid="{D5CDD505-2E9C-101B-9397-08002B2CF9AE}" pid="4" name="KSOTemplateDocerSaveRecord">
    <vt:lpwstr>eyJoZGlkIjoiMDM1MzMwZjA5ODZkODExOTQxZTI3YzlmMTYyOTFmNWIiLCJ1c2VySWQiOiIxNTcwMjY4OTk4In0=</vt:lpwstr>
  </property>
</Properties>
</file>