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spacing w:before="120" w:after="312" w:afterLines="100"/>
        <w:ind w:leftChars="0"/>
        <w:jc w:val="both"/>
        <w:rPr>
          <w:rStyle w:val="10"/>
          <w:rFonts w:hint="eastAsia" w:ascii="黑体" w:hAnsi="黑体" w:eastAsia="黑体" w:cs="黑体"/>
          <w:b w:val="0"/>
          <w:bCs w:val="0"/>
          <w:color w:val="auto"/>
          <w:sz w:val="32"/>
          <w:szCs w:val="32"/>
          <w:highlight w:val="none"/>
          <w:lang w:val="en-US" w:eastAsia="zh-CN"/>
        </w:rPr>
      </w:pPr>
      <w:r>
        <w:rPr>
          <w:rStyle w:val="10"/>
          <w:rFonts w:hint="eastAsia" w:ascii="黑体" w:hAnsi="黑体" w:eastAsia="黑体" w:cs="黑体"/>
          <w:b w:val="0"/>
          <w:bCs w:val="0"/>
          <w:color w:val="auto"/>
          <w:sz w:val="32"/>
          <w:szCs w:val="32"/>
          <w:highlight w:val="none"/>
          <w:lang w:val="en-US" w:eastAsia="zh-CN"/>
        </w:rPr>
        <w:t>附件1</w:t>
      </w:r>
    </w:p>
    <w:p>
      <w:pPr>
        <w:pStyle w:val="11"/>
        <w:spacing w:line="560" w:lineRule="exact"/>
        <w:ind w:left="0" w:leftChars="0" w:firstLine="0"/>
        <w:jc w:val="center"/>
        <w:rPr>
          <w:rFonts w:hint="eastAsia" w:ascii="方正小标宋简体" w:hAnsi="方正小标宋简体" w:eastAsia="方正小标宋简体" w:cs="方正小标宋简体"/>
          <w:b w:val="0"/>
          <w:bCs/>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福建省水文水资源勘测中心</w:t>
      </w:r>
    </w:p>
    <w:p>
      <w:pPr>
        <w:pStyle w:val="11"/>
        <w:spacing w:line="560" w:lineRule="exact"/>
        <w:ind w:left="0" w:leftChars="0" w:firstLine="0"/>
        <w:jc w:val="center"/>
        <w:rPr>
          <w:rFonts w:hint="default" w:ascii="黑体" w:hAnsi="黑体" w:eastAsia="黑体" w:cs="黑体"/>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桂香街实验室外立面改造项目</w:t>
      </w:r>
      <w:r>
        <w:rPr>
          <w:rFonts w:hint="eastAsia" w:ascii="方正小标宋简体" w:hAnsi="方正小标宋简体" w:eastAsia="方正小标宋简体" w:cs="方正小标宋简体"/>
          <w:b w:val="0"/>
          <w:bCs/>
          <w:color w:val="auto"/>
          <w:sz w:val="44"/>
          <w:szCs w:val="44"/>
          <w:highlight w:val="none"/>
          <w:lang w:eastAsia="zh-CN"/>
        </w:rPr>
        <w:t>采购标的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一、采购标的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本次采购货物为</w:t>
      </w:r>
      <w:r>
        <w:rPr>
          <w:rFonts w:hint="default" w:ascii="仿宋_GB2312" w:hAnsi="仿宋_GB2312" w:eastAsia="仿宋_GB2312" w:cs="仿宋_GB2312"/>
          <w:color w:val="auto"/>
          <w:sz w:val="32"/>
          <w:szCs w:val="32"/>
          <w:highlight w:val="none"/>
          <w:lang w:eastAsia="zh-CN"/>
        </w:rPr>
        <w:t>福建省水</w:t>
      </w:r>
      <w:r>
        <w:rPr>
          <w:rFonts w:hint="eastAsia" w:ascii="仿宋_GB2312" w:hAnsi="仿宋_GB2312" w:eastAsia="仿宋_GB2312" w:cs="仿宋_GB2312"/>
          <w:color w:val="auto"/>
          <w:sz w:val="32"/>
          <w:szCs w:val="32"/>
          <w:highlight w:val="none"/>
          <w:lang w:eastAsia="zh-CN"/>
        </w:rPr>
        <w:t>文水资源勘测中心桂香街</w:t>
      </w:r>
      <w:r>
        <w:rPr>
          <w:rFonts w:hint="default" w:ascii="仿宋_GB2312" w:hAnsi="仿宋_GB2312" w:eastAsia="仿宋_GB2312" w:cs="仿宋_GB2312"/>
          <w:color w:val="auto"/>
          <w:sz w:val="32"/>
          <w:szCs w:val="32"/>
          <w:highlight w:val="none"/>
          <w:lang w:eastAsia="zh-CN"/>
        </w:rPr>
        <w:t>实验室</w:t>
      </w:r>
      <w:r>
        <w:rPr>
          <w:rFonts w:hint="eastAsia" w:ascii="仿宋_GB2312" w:hAnsi="仿宋_GB2312" w:eastAsia="仿宋_GB2312" w:cs="仿宋_GB2312"/>
          <w:color w:val="auto"/>
          <w:sz w:val="32"/>
          <w:szCs w:val="32"/>
          <w:highlight w:val="none"/>
          <w:lang w:eastAsia="zh-CN"/>
        </w:rPr>
        <w:t>外立面</w:t>
      </w:r>
      <w:r>
        <w:rPr>
          <w:rFonts w:hint="default" w:ascii="仿宋_GB2312" w:hAnsi="仿宋_GB2312" w:eastAsia="仿宋_GB2312" w:cs="仿宋_GB2312"/>
          <w:color w:val="auto"/>
          <w:sz w:val="32"/>
          <w:szCs w:val="32"/>
          <w:highlight w:val="none"/>
          <w:lang w:eastAsia="zh-CN"/>
        </w:rPr>
        <w:t>改造项目</w:t>
      </w:r>
      <w:r>
        <w:rPr>
          <w:rFonts w:hint="eastAsia" w:ascii="仿宋_GB2312" w:hAnsi="仿宋_GB2312" w:eastAsia="仿宋_GB2312" w:cs="仿宋_GB2312"/>
          <w:color w:val="auto"/>
          <w:sz w:val="32"/>
          <w:szCs w:val="32"/>
          <w:highlight w:val="none"/>
          <w:lang w:val="en-US" w:eastAsia="zh-CN"/>
        </w:rPr>
        <w:t>，</w:t>
      </w:r>
      <w:r>
        <w:rPr>
          <w:rFonts w:hint="eastAsia" w:ascii="仿宋_GB2312" w:eastAsia="仿宋_GB2312"/>
          <w:color w:val="auto"/>
          <w:sz w:val="32"/>
          <w:szCs w:val="32"/>
          <w:highlight w:val="none"/>
          <w:lang w:eastAsia="zh-CN"/>
        </w:rPr>
        <w:t>最高限价为</w:t>
      </w:r>
      <w:r>
        <w:rPr>
          <w:rFonts w:hint="eastAsia" w:ascii="仿宋_GB2312" w:hAnsi="仿宋_GB2312" w:eastAsia="仿宋_GB2312" w:cs="仿宋_GB2312"/>
          <w:color w:val="auto"/>
          <w:kern w:val="0"/>
          <w:sz w:val="32"/>
          <w:szCs w:val="32"/>
          <w:highlight w:val="none"/>
          <w:shd w:val="clear" w:fill="FFFFFF"/>
          <w:lang w:val="en-US" w:eastAsia="zh-CN" w:bidi="ar"/>
        </w:rPr>
        <w:t>47.4025</w:t>
      </w:r>
      <w:r>
        <w:rPr>
          <w:rFonts w:hint="eastAsia" w:ascii="仿宋_GB2312" w:eastAsia="仿宋_GB2312"/>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施工范围</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Arial" w:hAnsi="Arial" w:eastAsia="宋体" w:cs="Arial"/>
          <w:color w:val="auto"/>
          <w:highlight w:val="none"/>
          <w:lang w:val="en-US" w:eastAsia="zh-CN"/>
        </w:rPr>
      </w:pPr>
      <w:r>
        <w:rPr>
          <w:rFonts w:hint="default" w:ascii="仿宋_GB2312" w:hAnsi="仿宋_GB2312" w:eastAsia="仿宋_GB2312" w:cs="仿宋_GB2312"/>
          <w:color w:val="auto"/>
          <w:sz w:val="32"/>
          <w:szCs w:val="32"/>
          <w:highlight w:val="none"/>
          <w:lang w:val="en-US" w:eastAsia="zh-CN" w:bidi="ar-SA"/>
        </w:rPr>
        <w:t>具体施工范围见</w:t>
      </w:r>
      <w:r>
        <w:rPr>
          <w:rFonts w:hint="eastAsia" w:ascii="仿宋_GB2312" w:hAnsi="仿宋_GB2312" w:eastAsia="仿宋_GB2312" w:cs="仿宋_GB2312"/>
          <w:color w:val="auto"/>
          <w:sz w:val="32"/>
          <w:szCs w:val="32"/>
          <w:highlight w:val="none"/>
          <w:lang w:val="en-US" w:eastAsia="zh-CN" w:bidi="ar-SA"/>
        </w:rPr>
        <w:t>附图</w:t>
      </w:r>
      <w:r>
        <w:rPr>
          <w:rFonts w:hint="default" w:ascii="仿宋_GB2312" w:hAnsi="仿宋_GB2312" w:eastAsia="仿宋_GB2312" w:cs="仿宋_GB2312"/>
          <w:color w:val="auto"/>
          <w:sz w:val="32"/>
          <w:szCs w:val="32"/>
          <w:highlight w:val="none"/>
          <w:lang w:val="en-US" w:eastAsia="zh-CN" w:bidi="ar-SA"/>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Arial" w:hAnsi="Arial" w:cs="Arial"/>
          <w:color w:val="auto"/>
          <w:highlight w:val="none"/>
          <w:lang w:val="en-US" w:eastAsia="zh-CN"/>
        </w:rPr>
        <w:t xml:space="preserve">         </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三、参数要求</w:t>
      </w:r>
      <w:r>
        <w:rPr>
          <w:rFonts w:hint="eastAsia" w:ascii="仿宋_GB2312" w:eastAsia="仿宋_GB2312"/>
          <w:color w:val="auto"/>
          <w:sz w:val="32"/>
          <w:szCs w:val="32"/>
          <w:highlight w:val="none"/>
          <w:lang w:val="en-US" w:eastAsia="zh-CN"/>
        </w:rPr>
        <w:t>（带★技术参数，任一项不满足要求的视为无效投标。）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color w:val="auto"/>
          <w:sz w:val="32"/>
          <w:szCs w:val="32"/>
          <w:highlight w:val="none"/>
          <w:lang w:val="en-US" w:eastAsia="zh-CN"/>
        </w:rPr>
        <w:t>★</w:t>
      </w:r>
      <w:r>
        <w:rPr>
          <w:rFonts w:hint="eastAsia" w:ascii="黑体" w:hAnsi="黑体" w:eastAsia="黑体" w:cs="黑体"/>
          <w:b w:val="0"/>
          <w:bCs w:val="0"/>
          <w:color w:val="auto"/>
          <w:sz w:val="32"/>
          <w:szCs w:val="32"/>
          <w:highlight w:val="none"/>
          <w:lang w:val="en-US" w:eastAsia="zh-CN"/>
        </w:rPr>
        <w:t>3.1 改造内容</w:t>
      </w:r>
    </w:p>
    <w:p>
      <w:pPr>
        <w:pStyle w:val="4"/>
        <w:pageBreakBefore w:val="0"/>
        <w:widowControl w:val="0"/>
        <w:numPr>
          <w:ilvl w:val="1"/>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rPr>
      </w:pPr>
      <w:r>
        <w:rPr>
          <w:rFonts w:hint="eastAsia" w:ascii="楷体_GB2312" w:hAnsi="楷体_GB2312" w:eastAsia="楷体_GB2312" w:cs="楷体_GB2312"/>
          <w:b/>
          <w:bCs/>
          <w:color w:val="auto"/>
          <w:kern w:val="2"/>
          <w:sz w:val="32"/>
          <w:szCs w:val="32"/>
          <w:highlight w:val="none"/>
          <w:lang w:val="en-US" w:eastAsia="zh-CN"/>
        </w:rPr>
        <w:t>3.1.1大楼外立面改造内容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（1）安全防护搭设搭建全封闭落地式脚手架，设置防护网，保障施工安全与环境整洁。</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（2）外立面基层修复铲除空鼓、松动、风化层，用高强度修补砂浆填充裂缝、找平墙面，恢复基层坚实平整。</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（3）外墙废弃空调支架、废弃铁皮管道、PVC管道拆除。</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（4）外墙防水体系涂刷外墙专用防水涂料，对门窗洞口、阴阳角、伸缩缝等易漏点重点加强，形成连续防水屏障。</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（5）装饰面层施工依次施工封闭底漆、真石漆主涂层、罩面漆，提升耐候性、抗污性与建筑外观，延长使用寿命。</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left"/>
        <w:textAlignment w:val="auto"/>
        <w:rPr>
          <w:rFonts w:hint="eastAsia" w:ascii="楷体_GB2312" w:hAnsi="楷体_GB2312" w:eastAsia="楷体_GB2312" w:cs="楷体_GB2312"/>
          <w:b/>
          <w:bCs/>
          <w:color w:val="auto"/>
          <w:spacing w:val="0"/>
          <w:kern w:val="2"/>
          <w:sz w:val="32"/>
          <w:szCs w:val="32"/>
          <w:highlight w:val="none"/>
          <w:lang w:val="en-US" w:eastAsia="zh-CN"/>
        </w:rPr>
      </w:pPr>
      <w:r>
        <w:rPr>
          <w:rFonts w:hint="eastAsia" w:ascii="楷体_GB2312" w:hAnsi="楷体_GB2312" w:eastAsia="楷体_GB2312" w:cs="楷体_GB2312"/>
          <w:b/>
          <w:bCs/>
          <w:color w:val="auto"/>
          <w:kern w:val="2"/>
          <w:sz w:val="32"/>
          <w:szCs w:val="32"/>
          <w:highlight w:val="none"/>
          <w:lang w:val="en-US" w:eastAsia="zh-CN"/>
        </w:rPr>
        <w:t>3.1.2雨棚改造内容</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（1）支撑骨架：不锈钢方通 25×25×1.0mm，焊接成型，表面洁净无锈蚀。</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（2）固定方式：M8×70 不锈钢膨胀螺栓与墙体可靠锚固，螺栓间距符合设计要求。</w:t>
      </w:r>
    </w:p>
    <w:p>
      <w:pPr>
        <w:pStyle w:val="4"/>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（3）面板材料：1.2mm厚304不锈钢板，平整、抗风、耐腐、强度高。</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（4）密封材料：中性硅酮耐候密封胶，与不锈钢相容性良好。</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lang w:val="en-US" w:eastAsia="zh-CN"/>
        </w:rPr>
      </w:pPr>
      <w:r>
        <w:rPr>
          <w:rFonts w:hint="eastAsia" w:ascii="仿宋_GB2312" w:hAnsi="仿宋_GB2312" w:eastAsia="仿宋_GB2312" w:cs="仿宋_GB2312"/>
          <w:b w:val="0"/>
          <w:bCs w:val="0"/>
          <w:color w:val="auto"/>
          <w:spacing w:val="0"/>
          <w:kern w:val="2"/>
          <w:sz w:val="32"/>
          <w:szCs w:val="32"/>
          <w:highlight w:val="none"/>
          <w:lang w:val="en-US" w:eastAsia="zh-CN" w:bidi="ar-SA"/>
        </w:rPr>
        <w:t>（5）构造要求：设置合理排水坡度，确保无积水、无倒泛水。</w:t>
      </w:r>
    </w:p>
    <w:p>
      <w:pPr>
        <w:pageBreakBefore w:val="0"/>
        <w:numPr>
          <w:ilvl w:val="-1"/>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3.1.3通风管道改造内容</w:t>
      </w:r>
    </w:p>
    <w:p>
      <w:pPr>
        <w:pStyle w:val="4"/>
        <w:pageBreakBefore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u w:val="none"/>
          <w:lang w:val="en-US" w:eastAsia="zh-CN"/>
        </w:rPr>
      </w:pPr>
      <w:r>
        <w:rPr>
          <w:rFonts w:hint="eastAsia" w:ascii="仿宋_GB2312" w:hAnsi="仿宋_GB2312" w:eastAsia="仿宋_GB2312" w:cs="仿宋_GB2312"/>
          <w:b w:val="0"/>
          <w:bCs w:val="0"/>
          <w:color w:val="auto"/>
          <w:spacing w:val="0"/>
          <w:kern w:val="2"/>
          <w:sz w:val="32"/>
          <w:szCs w:val="32"/>
          <w:highlight w:val="none"/>
          <w:lang w:val="en-US" w:eastAsia="zh-CN" w:bidi="ar-SA"/>
        </w:rPr>
        <w:t>（1）增设</w:t>
      </w:r>
      <w:r>
        <w:rPr>
          <w:rFonts w:hint="eastAsia" w:ascii="仿宋_GB2312" w:hAnsi="仿宋_GB2312" w:eastAsia="仿宋_GB2312" w:cs="仿宋_GB2312"/>
          <w:b w:val="0"/>
          <w:bCs w:val="0"/>
          <w:color w:val="auto"/>
          <w:kern w:val="2"/>
          <w:sz w:val="32"/>
          <w:szCs w:val="32"/>
          <w:highlight w:val="none"/>
          <w:u w:val="none"/>
          <w:lang w:val="en-US" w:eastAsia="zh-CN"/>
        </w:rPr>
        <w:t>外墙 PP 阻燃通风管敷设，</w:t>
      </w:r>
      <w:r>
        <w:rPr>
          <w:rFonts w:hint="eastAsia" w:ascii="仿宋_GB2312" w:hAnsi="仿宋_GB2312" w:eastAsia="仿宋_GB2312" w:cs="仿宋_GB2312"/>
          <w:b w:val="0"/>
          <w:bCs w:val="0"/>
          <w:color w:val="auto"/>
          <w:spacing w:val="0"/>
          <w:kern w:val="2"/>
          <w:sz w:val="32"/>
          <w:szCs w:val="32"/>
          <w:highlight w:val="none"/>
          <w:lang w:val="en-US" w:eastAsia="zh-CN" w:bidi="ar-SA"/>
        </w:rPr>
        <w:t>完善实验室通风系统</w:t>
      </w:r>
      <w:r>
        <w:rPr>
          <w:rFonts w:hint="eastAsia" w:ascii="仿宋_GB2312" w:hAnsi="仿宋_GB2312" w:eastAsia="仿宋_GB2312" w:cs="仿宋_GB2312"/>
          <w:b w:val="0"/>
          <w:bCs w:val="0"/>
          <w:color w:val="auto"/>
          <w:kern w:val="2"/>
          <w:sz w:val="32"/>
          <w:szCs w:val="32"/>
          <w:highlight w:val="none"/>
          <w:u w:val="none"/>
          <w:lang w:val="en-US" w:eastAsia="zh-CN"/>
        </w:rPr>
        <w:t>。</w:t>
      </w:r>
    </w:p>
    <w:p>
      <w:pPr>
        <w:pStyle w:val="4"/>
        <w:pageBreakBefore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u w:val="none"/>
          <w:lang w:val="en-US" w:eastAsia="zh-CN"/>
        </w:rPr>
      </w:pPr>
      <w:r>
        <w:rPr>
          <w:rFonts w:hint="eastAsia" w:ascii="仿宋_GB2312" w:hAnsi="仿宋_GB2312" w:eastAsia="仿宋_GB2312" w:cs="仿宋_GB2312"/>
          <w:b w:val="0"/>
          <w:bCs w:val="0"/>
          <w:color w:val="auto"/>
          <w:kern w:val="2"/>
          <w:sz w:val="32"/>
          <w:szCs w:val="32"/>
          <w:highlight w:val="none"/>
          <w:u w:val="none"/>
          <w:lang w:val="en-US" w:eastAsia="zh-CN"/>
        </w:rPr>
        <w:t>（2）通风系统调试与优化。</w:t>
      </w:r>
    </w:p>
    <w:p>
      <w:pPr>
        <w:pStyle w:val="5"/>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bCs/>
          <w:color w:val="auto"/>
          <w:kern w:val="0"/>
          <w:sz w:val="28"/>
          <w:szCs w:val="28"/>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3.2 技术参数要求</w:t>
      </w:r>
    </w:p>
    <w:p>
      <w:pPr>
        <w:pStyle w:val="4"/>
        <w:pageBreakBefore w:val="0"/>
        <w:numPr>
          <w:ilvl w:val="1"/>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kern w:val="2"/>
          <w:sz w:val="32"/>
          <w:szCs w:val="32"/>
          <w:highlight w:val="none"/>
          <w:lang w:val="en-US" w:eastAsia="zh-CN" w:bidi="ar-SA"/>
        </w:rPr>
      </w:pPr>
      <w:r>
        <w:rPr>
          <w:rFonts w:hint="eastAsia" w:ascii="楷体_GB2312" w:hAnsi="楷体_GB2312" w:eastAsia="楷体_GB2312" w:cs="楷体_GB2312"/>
          <w:b/>
          <w:bCs/>
          <w:color w:val="auto"/>
          <w:spacing w:val="0"/>
          <w:kern w:val="2"/>
          <w:sz w:val="32"/>
          <w:szCs w:val="32"/>
          <w:highlight w:val="none"/>
          <w:lang w:val="en-US" w:eastAsia="zh-CN" w:bidi="ar-SA"/>
        </w:rPr>
        <w:t>3.2.1</w:t>
      </w:r>
      <w:r>
        <w:rPr>
          <w:rFonts w:hint="eastAsia" w:ascii="楷体_GB2312" w:hAnsi="楷体_GB2312" w:eastAsia="楷体_GB2312" w:cs="楷体_GB2312"/>
          <w:b/>
          <w:bCs/>
          <w:color w:val="auto"/>
          <w:kern w:val="2"/>
          <w:sz w:val="32"/>
          <w:szCs w:val="32"/>
          <w:highlight w:val="none"/>
          <w:lang w:val="en-US" w:eastAsia="zh-CN" w:bidi="ar-SA"/>
        </w:rPr>
        <w:t>外墙材料</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（1）高强度修补砂浆：粘结力强、抗裂、耐水，适配外墙基层修复。</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（2）外墙专用防水涂料：耐候、抗紫外线、弹性好，长效防渗。</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（3）真石漆 + 罩面漆：仿石质感、耐污自洁、抗老化，提升外观与耐久性。</w:t>
      </w:r>
    </w:p>
    <w:p>
      <w:pPr>
        <w:pStyle w:val="4"/>
        <w:pageBreakBefore w:val="0"/>
        <w:numPr>
          <w:ilvl w:val="1"/>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pacing w:val="0"/>
          <w:kern w:val="2"/>
          <w:sz w:val="32"/>
          <w:szCs w:val="32"/>
          <w:highlight w:val="none"/>
          <w:lang w:val="en-US" w:eastAsia="zh-CN" w:bidi="ar-SA"/>
        </w:rPr>
      </w:pPr>
      <w:r>
        <w:rPr>
          <w:rFonts w:hint="eastAsia" w:ascii="楷体_GB2312" w:hAnsi="楷体_GB2312" w:eastAsia="楷体_GB2312" w:cs="楷体_GB2312"/>
          <w:b/>
          <w:bCs/>
          <w:color w:val="auto"/>
          <w:spacing w:val="0"/>
          <w:kern w:val="2"/>
          <w:sz w:val="32"/>
          <w:szCs w:val="32"/>
          <w:highlight w:val="none"/>
          <w:lang w:val="en-US" w:eastAsia="zh-CN" w:bidi="ar-SA"/>
        </w:rPr>
        <w:t>3.2.2雨棚材料</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（1）不锈钢方通 25×25×1.0mm执行标准：GB/T 14976-2025要求：材质均匀、无锈蚀、壁厚达标、焊接性能良好。</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黑体" w:hAnsi="黑体" w:eastAsia="黑体" w:cs="黑体"/>
          <w:color w:val="auto"/>
          <w:sz w:val="32"/>
          <w:szCs w:val="32"/>
          <w:highlight w:val="none"/>
          <w:lang w:val="en-US" w:eastAsia="zh-CN"/>
        </w:rPr>
        <w:t>★</w:t>
      </w:r>
      <w:r>
        <w:rPr>
          <w:rFonts w:hint="eastAsia" w:ascii="仿宋_GB2312" w:hAnsi="仿宋_GB2312" w:eastAsia="仿宋_GB2312" w:cs="仿宋_GB2312"/>
          <w:color w:val="auto"/>
          <w:spacing w:val="0"/>
          <w:sz w:val="32"/>
          <w:szCs w:val="32"/>
          <w:highlight w:val="none"/>
          <w:lang w:val="en-US" w:eastAsia="zh-CN" w:bidi="ar-SA"/>
        </w:rPr>
        <w:t>（2）采用1.2mm不锈钢挡雨板，表面处理工艺需满足设计要求，面板尺寸应精确，安装平整。不锈钢需满足以下技术参数：化学成分检测结果符合GB/T20878-2024要求：C≤0.08,Si≤1.00,Mn≤2.00,P≤0.045,S≤0.030,Cr=18—20,Ni=8—11；物理性能符合：抗拉强度≥738，规定塑性延伸强度≥374，断后伸长率≥65.0，维氏硬度HV10≥178。需提供检验检测机构出具的带有CMA或CNAS标识的检测检验报告扫描件进行佐证。</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（3）不锈钢膨胀螺栓、自攻螺丝要求：耐腐蚀、抗拉拔、锚固可靠。</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黑体" w:hAnsi="黑体" w:eastAsia="黑体" w:cs="黑体"/>
          <w:color w:val="auto"/>
          <w:sz w:val="32"/>
          <w:szCs w:val="32"/>
          <w:highlight w:val="none"/>
          <w:lang w:val="en-US" w:eastAsia="zh-CN"/>
        </w:rPr>
        <w:t>★</w:t>
      </w:r>
      <w:r>
        <w:rPr>
          <w:rFonts w:hint="eastAsia" w:ascii="仿宋_GB2312" w:hAnsi="仿宋_GB2312" w:eastAsia="仿宋_GB2312" w:cs="仿宋_GB2312"/>
          <w:color w:val="auto"/>
          <w:spacing w:val="0"/>
          <w:sz w:val="32"/>
          <w:szCs w:val="32"/>
          <w:highlight w:val="none"/>
          <w:lang w:val="en-US" w:eastAsia="zh-CN" w:bidi="ar-SA"/>
        </w:rPr>
        <w:t>（4）中性硅酮耐候密封胶执行标准：</w:t>
      </w:r>
      <w:bookmarkStart w:id="0" w:name="OLE_LINK2"/>
      <w:r>
        <w:rPr>
          <w:rFonts w:hint="eastAsia" w:ascii="仿宋_GB2312" w:hAnsi="仿宋_GB2312" w:eastAsia="仿宋_GB2312" w:cs="仿宋_GB2312"/>
          <w:color w:val="auto"/>
          <w:spacing w:val="0"/>
          <w:sz w:val="32"/>
          <w:szCs w:val="32"/>
          <w:highlight w:val="none"/>
          <w:lang w:val="en-US" w:eastAsia="zh-CN" w:bidi="ar-SA"/>
        </w:rPr>
        <w:t>GB/T 14683-2017</w:t>
      </w:r>
      <w:bookmarkEnd w:id="0"/>
      <w:r>
        <w:rPr>
          <w:rFonts w:hint="eastAsia" w:ascii="仿宋_GB2312" w:hAnsi="仿宋_GB2312" w:eastAsia="仿宋_GB2312" w:cs="仿宋_GB2312"/>
          <w:color w:val="auto"/>
          <w:spacing w:val="0"/>
          <w:sz w:val="32"/>
          <w:szCs w:val="32"/>
          <w:highlight w:val="none"/>
          <w:lang w:val="en-US" w:eastAsia="zh-CN" w:bidi="ar-SA"/>
        </w:rPr>
        <w:t>要求：位移能力、模量、粘结性、耐老化性符合外墙用胶要求。</w:t>
      </w:r>
    </w:p>
    <w:p>
      <w:pPr>
        <w:pStyle w:val="4"/>
        <w:pageBreakBefore w:val="0"/>
        <w:numPr>
          <w:ilvl w:val="1"/>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pacing w:val="0"/>
          <w:kern w:val="2"/>
          <w:sz w:val="32"/>
          <w:szCs w:val="32"/>
          <w:highlight w:val="none"/>
          <w:lang w:val="en-US" w:eastAsia="zh-CN" w:bidi="ar-SA"/>
        </w:rPr>
      </w:pPr>
      <w:r>
        <w:rPr>
          <w:rFonts w:hint="eastAsia" w:ascii="楷体_GB2312" w:hAnsi="楷体_GB2312" w:eastAsia="楷体_GB2312" w:cs="楷体_GB2312"/>
          <w:b/>
          <w:bCs/>
          <w:color w:val="auto"/>
          <w:spacing w:val="0"/>
          <w:kern w:val="2"/>
          <w:sz w:val="32"/>
          <w:szCs w:val="32"/>
          <w:highlight w:val="none"/>
          <w:lang w:val="en-US" w:eastAsia="zh-CN" w:bidi="ar-SA"/>
        </w:rPr>
        <w:t>3.2.3通风材料</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黑体" w:hAnsi="黑体" w:eastAsia="黑体" w:cs="黑体"/>
          <w:color w:val="auto"/>
          <w:sz w:val="32"/>
          <w:szCs w:val="32"/>
          <w:highlight w:val="none"/>
          <w:lang w:val="en-US" w:eastAsia="zh-CN"/>
        </w:rPr>
        <w:t>★</w:t>
      </w:r>
      <w:r>
        <w:rPr>
          <w:rFonts w:hint="eastAsia" w:ascii="仿宋_GB2312" w:hAnsi="仿宋_GB2312" w:eastAsia="仿宋_GB2312" w:cs="仿宋_GB2312"/>
          <w:color w:val="auto"/>
          <w:spacing w:val="0"/>
          <w:sz w:val="32"/>
          <w:szCs w:val="32"/>
          <w:highlight w:val="none"/>
          <w:lang w:val="en-US" w:eastAsia="zh-CN" w:bidi="ar-SA"/>
        </w:rPr>
        <w:t>（1）PP阻燃通风管Φ250mm：采用实验室专用A级阻燃抗紫外线老化PP（聚丙烯）防腐材质。尺寸公差：φ250mm管道壁厚公差±0.3mm，φ400mm管道壁厚公差±0.4mm。PP风管经检测需符合以下技术参数：在浓度37%的盐酸中，无可见变化；在浓度40%氢氧化钠中，无可见变化；需提供检验检测机构出具的带有CMA标识的检测检验报告扫描件进行佐证。</w:t>
      </w:r>
    </w:p>
    <w:p>
      <w:pPr>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（2）专用管卡、固定支架：防腐、牢固。</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四、其它要求</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除工程量清单及图纸范围内的施工外，中标人（承包人）须负责本项目从开工至竣工验收全过程中的行政审批与报建手续办理，包括但不限于：</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1.施工临时占道、临时排水、临时用电、临水报装；</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2.夜间施工许可、建筑垃圾处置核准；</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3.其他为满足合法开工及施工所需的地方性审批事项。</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pacing w:val="0"/>
          <w:sz w:val="32"/>
          <w:szCs w:val="32"/>
          <w:highlight w:val="none"/>
          <w:lang w:val="en-US" w:eastAsia="zh-CN" w:bidi="ar-SA"/>
        </w:rPr>
      </w:pPr>
      <w:r>
        <w:rPr>
          <w:rFonts w:hint="eastAsia" w:ascii="仿宋_GB2312" w:hAnsi="仿宋_GB2312" w:eastAsia="仿宋_GB2312" w:cs="仿宋_GB2312"/>
          <w:color w:val="auto"/>
          <w:spacing w:val="0"/>
          <w:sz w:val="32"/>
          <w:szCs w:val="32"/>
          <w:highlight w:val="none"/>
          <w:lang w:val="en-US" w:eastAsia="zh-CN" w:bidi="ar-SA"/>
        </w:rPr>
        <w:t>4.若因本项目所涉相关行政审批（包括但不限于上述第1至3项）未获主管部门批准或核准，导致项目无法继续实施或合同目的无法实现的，招标人有权终止合同，双方互不承担违约责任。</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五、项目地址</w:t>
      </w:r>
    </w:p>
    <w:p>
      <w:pPr>
        <w:pStyle w:val="5"/>
        <w:pageBreakBefore w:val="0"/>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福州市晋安区梅仙街16号</w:t>
      </w:r>
      <w:r>
        <w:rPr>
          <w:rFonts w:hint="eastAsia" w:ascii="仿宋_GB2312" w:eastAsia="仿宋_GB2312"/>
          <w:color w:val="auto"/>
          <w:sz w:val="32"/>
          <w:szCs w:val="32"/>
          <w:highlight w:val="none"/>
        </w:rPr>
        <w:t>福建省水环境监测中心</w:t>
      </w:r>
      <w:r>
        <w:rPr>
          <w:rFonts w:hint="eastAsia" w:ascii="仿宋_GB2312" w:eastAsia="仿宋_GB2312"/>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六、验收方式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供应商按要求完成改造项目后，采购方组织人员进行验收。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七、售后服务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提供2</w:t>
      </w:r>
      <w:bookmarkStart w:id="1" w:name="_GoBack"/>
      <w:bookmarkEnd w:id="1"/>
      <w:r>
        <w:rPr>
          <w:rFonts w:hint="eastAsia" w:ascii="仿宋_GB2312" w:hAnsi="仿宋_GB2312" w:eastAsia="仿宋_GB2312" w:cs="仿宋_GB2312"/>
          <w:color w:val="auto"/>
          <w:sz w:val="32"/>
          <w:szCs w:val="32"/>
          <w:highlight w:val="none"/>
          <w:lang w:val="en-US" w:eastAsia="zh-CN"/>
        </w:rPr>
        <w:t>年免费保修期。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八、付款方式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auto"/>
          <w:sz w:val="32"/>
          <w:szCs w:val="32"/>
          <w:highlight w:val="none"/>
          <w:lang w:val="en-US" w:eastAsia="zh-CN"/>
        </w:rPr>
        <w:t>项目验收合格后，采购方组织结算审核，中标人按结算审核金额提供相应发票，采购人支付全部项目款。</w:t>
      </w:r>
    </w:p>
    <w:p>
      <w:pPr>
        <w:pStyle w:val="3"/>
        <w:numPr>
          <w:ilvl w:val="0"/>
          <w:numId w:val="0"/>
        </w:numPr>
        <w:spacing w:before="120" w:after="312" w:afterLines="100"/>
        <w:ind w:leftChars="0"/>
        <w:jc w:val="both"/>
        <w:rPr>
          <w:rStyle w:val="10"/>
          <w:rFonts w:hint="eastAsia" w:ascii="宋体" w:hAnsi="宋体" w:cs="宋体" w:eastAsiaTheme="minorEastAsia"/>
          <w:b/>
          <w:bCs/>
          <w:color w:val="auto"/>
          <w:sz w:val="32"/>
          <w:szCs w:val="32"/>
          <w:highlight w:val="none"/>
          <w:lang w:val="en-US" w:eastAsia="zh-CN"/>
        </w:rPr>
      </w:pPr>
      <w:r>
        <w:rPr>
          <w:rStyle w:val="10"/>
          <w:rFonts w:hint="eastAsia" w:ascii="宋体" w:hAnsi="宋体" w:cs="宋体" w:eastAsiaTheme="minorEastAsia"/>
          <w:b/>
          <w:bCs/>
          <w:color w:val="auto"/>
          <w:sz w:val="32"/>
          <w:szCs w:val="32"/>
          <w:highlight w:val="none"/>
          <w:lang w:val="en-US" w:eastAsia="zh-CN"/>
        </w:rPr>
        <w:t>附图</w:t>
      </w:r>
    </w:p>
    <w:p>
      <w:pPr>
        <w:pStyle w:val="3"/>
        <w:numPr>
          <w:ilvl w:val="0"/>
          <w:numId w:val="0"/>
        </w:numPr>
        <w:bidi w:val="0"/>
        <w:ind w:leftChars="0"/>
        <w:jc w:val="center"/>
        <w:rPr>
          <w:rFonts w:hint="default"/>
          <w:lang w:val="en-US" w:eastAsia="zh-CN"/>
        </w:rPr>
      </w:pPr>
      <w:r>
        <w:rPr>
          <w:rFonts w:hint="eastAsia" w:ascii="仿宋" w:hAnsi="仿宋" w:eastAsia="仿宋" w:cs="仿宋"/>
          <w:sz w:val="32"/>
          <w:szCs w:val="32"/>
          <w:lang w:eastAsia="zh-CN"/>
        </w:rPr>
        <w:t>施工设计图</w:t>
      </w:r>
      <w:r>
        <w:rPr>
          <w:rFonts w:hint="eastAsia" w:ascii="仿宋" w:hAnsi="仿宋" w:eastAsia="仿宋" w:cs="仿宋"/>
          <w:sz w:val="32"/>
          <w:szCs w:val="32"/>
          <w:lang w:val="en-US" w:eastAsia="zh-CN"/>
        </w:rPr>
        <w:t>纸</w:t>
      </w:r>
    </w:p>
    <w:p>
      <w:pPr>
        <w:rPr>
          <w:rFonts w:hint="default" w:ascii="仿宋" w:hAnsi="仿宋" w:eastAsia="仿宋" w:cs="仿宋"/>
          <w:bCs/>
          <w:color w:val="auto"/>
          <w:sz w:val="28"/>
          <w:szCs w:val="30"/>
          <w:highlight w:val="none"/>
          <w:u w:val="none"/>
          <w:lang w:val="en-US" w:eastAsia="zh-CN"/>
        </w:rPr>
      </w:pPr>
      <w:r>
        <w:rPr>
          <w:rFonts w:hint="default" w:ascii="仿宋" w:hAnsi="仿宋" w:eastAsia="仿宋" w:cs="仿宋"/>
          <w:bCs/>
          <w:color w:val="auto"/>
          <w:sz w:val="28"/>
          <w:szCs w:val="30"/>
          <w:highlight w:val="none"/>
          <w:u w:val="none"/>
          <w:lang w:val="en-US" w:eastAsia="zh-CN"/>
        </w:rPr>
        <w:drawing>
          <wp:inline distT="0" distB="0" distL="114300" distR="114300">
            <wp:extent cx="5811520" cy="7158355"/>
            <wp:effectExtent l="0" t="0" r="17780" b="4445"/>
            <wp:docPr id="15" name="图片 15" descr="福建省水文水资源勘测中心桂香街实验室外立面改造项目6-15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福建省水文水资源勘测中心桂香街实验室外立面改造项目6-15_页面_01"/>
                    <pic:cNvPicPr>
                      <a:picLocks noChangeAspect="1"/>
                    </pic:cNvPicPr>
                  </pic:nvPicPr>
                  <pic:blipFill>
                    <a:blip r:embed="rId6"/>
                    <a:stretch>
                      <a:fillRect/>
                    </a:stretch>
                  </pic:blipFill>
                  <pic:spPr>
                    <a:xfrm>
                      <a:off x="0" y="0"/>
                      <a:ext cx="5811520" cy="7158355"/>
                    </a:xfrm>
                    <a:prstGeom prst="rect">
                      <a:avLst/>
                    </a:prstGeom>
                  </pic:spPr>
                </pic:pic>
              </a:graphicData>
            </a:graphic>
          </wp:inline>
        </w:drawing>
      </w:r>
    </w:p>
    <w:p>
      <w:pPr>
        <w:rPr>
          <w:rFonts w:hint="default" w:ascii="仿宋" w:hAnsi="仿宋" w:eastAsia="仿宋" w:cs="仿宋"/>
          <w:bCs/>
          <w:color w:val="auto"/>
          <w:sz w:val="28"/>
          <w:szCs w:val="30"/>
          <w:highlight w:val="none"/>
          <w:u w:val="none"/>
          <w:lang w:val="en-US" w:eastAsia="zh-CN"/>
        </w:rPr>
        <w:sectPr>
          <w:footerReference r:id="rId4" w:type="default"/>
          <w:pgSz w:w="11906" w:h="16838"/>
          <w:pgMar w:top="1440" w:right="1800" w:bottom="1440" w:left="1800" w:header="851" w:footer="992" w:gutter="0"/>
          <w:cols w:space="425" w:num="1"/>
          <w:docGrid w:type="lines" w:linePitch="312" w:charSpace="0"/>
        </w:sectPr>
      </w:pPr>
      <w:r>
        <w:rPr>
          <w:rFonts w:hint="default" w:ascii="仿宋" w:hAnsi="仿宋" w:eastAsia="仿宋" w:cs="仿宋"/>
          <w:bCs/>
          <w:color w:val="auto"/>
          <w:sz w:val="28"/>
          <w:szCs w:val="30"/>
          <w:highlight w:val="none"/>
          <w:u w:val="none"/>
          <w:lang w:val="en-US" w:eastAsia="zh-CN"/>
        </w:rPr>
        <w:br w:type="page"/>
      </w:r>
    </w:p>
    <w:p>
      <w:pPr>
        <w:jc w:val="center"/>
      </w:pPr>
      <w:r>
        <w:rPr>
          <w:rFonts w:hint="default" w:ascii="仿宋" w:hAnsi="仿宋" w:eastAsia="仿宋" w:cs="仿宋"/>
          <w:bCs/>
          <w:color w:val="auto"/>
          <w:sz w:val="28"/>
          <w:szCs w:val="30"/>
          <w:highlight w:val="none"/>
          <w:u w:val="none"/>
          <w:lang w:val="en-US" w:eastAsia="zh-CN"/>
        </w:rPr>
        <w:drawing>
          <wp:inline distT="0" distB="0" distL="114300" distR="114300">
            <wp:extent cx="8527415" cy="5592445"/>
            <wp:effectExtent l="0" t="0" r="6985" b="8255"/>
            <wp:docPr id="14" name="图片 14" descr="福建省水文水资源勘测中心桂香街实验室外立面改造项目6-15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福建省水文水资源勘测中心桂香街实验室外立面改造项目6-15_页面_02"/>
                    <pic:cNvPicPr>
                      <a:picLocks noChangeAspect="1"/>
                    </pic:cNvPicPr>
                  </pic:nvPicPr>
                  <pic:blipFill>
                    <a:blip r:embed="rId7"/>
                    <a:stretch>
                      <a:fillRect/>
                    </a:stretch>
                  </pic:blipFill>
                  <pic:spPr>
                    <a:xfrm>
                      <a:off x="0" y="0"/>
                      <a:ext cx="8527415" cy="5592445"/>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8337550" cy="5561330"/>
            <wp:effectExtent l="0" t="0" r="6350" b="1270"/>
            <wp:docPr id="12" name="图片 12" descr="福建省水文水资源勘测中心桂香街实验室外立面改造项目6-15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福建省水文水资源勘测中心桂香街实验室外立面改造项目6-15_页面_03"/>
                    <pic:cNvPicPr>
                      <a:picLocks noChangeAspect="1"/>
                    </pic:cNvPicPr>
                  </pic:nvPicPr>
                  <pic:blipFill>
                    <a:blip r:embed="rId8"/>
                    <a:stretch>
                      <a:fillRect/>
                    </a:stretch>
                  </pic:blipFill>
                  <pic:spPr>
                    <a:xfrm>
                      <a:off x="0" y="0"/>
                      <a:ext cx="8337550" cy="5561330"/>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8285480" cy="5633085"/>
            <wp:effectExtent l="0" t="0" r="1270" b="5715"/>
            <wp:docPr id="11" name="图片 11" descr="福建省水文水资源勘测中心桂香街实验室外立面改造项目6-15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福建省水文水资源勘测中心桂香街实验室外立面改造项目6-15_页面_04"/>
                    <pic:cNvPicPr>
                      <a:picLocks noChangeAspect="1"/>
                    </pic:cNvPicPr>
                  </pic:nvPicPr>
                  <pic:blipFill>
                    <a:blip r:embed="rId9"/>
                    <a:stretch>
                      <a:fillRect/>
                    </a:stretch>
                  </pic:blipFill>
                  <pic:spPr>
                    <a:xfrm>
                      <a:off x="0" y="0"/>
                      <a:ext cx="8285480" cy="5633085"/>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8068310" cy="5600700"/>
            <wp:effectExtent l="0" t="0" r="8890" b="0"/>
            <wp:docPr id="10" name="图片 10" descr="福建省水文水资源勘测中心桂香街实验室外立面改造项目6-15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福建省水文水资源勘测中心桂香街实验室外立面改造项目6-15_页面_05"/>
                    <pic:cNvPicPr>
                      <a:picLocks noChangeAspect="1"/>
                    </pic:cNvPicPr>
                  </pic:nvPicPr>
                  <pic:blipFill>
                    <a:blip r:embed="rId10"/>
                    <a:stretch>
                      <a:fillRect/>
                    </a:stretch>
                  </pic:blipFill>
                  <pic:spPr>
                    <a:xfrm>
                      <a:off x="0" y="0"/>
                      <a:ext cx="8068310" cy="5600700"/>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7961630" cy="5631180"/>
            <wp:effectExtent l="0" t="0" r="1270" b="7620"/>
            <wp:docPr id="9" name="图片 9" descr="福建省水文水资源勘测中心桂香街实验室外立面改造项目6-15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福建省水文水资源勘测中心桂香街实验室外立面改造项目6-15_页面_06"/>
                    <pic:cNvPicPr>
                      <a:picLocks noChangeAspect="1"/>
                    </pic:cNvPicPr>
                  </pic:nvPicPr>
                  <pic:blipFill>
                    <a:blip r:embed="rId11"/>
                    <a:stretch>
                      <a:fillRect/>
                    </a:stretch>
                  </pic:blipFill>
                  <pic:spPr>
                    <a:xfrm>
                      <a:off x="0" y="0"/>
                      <a:ext cx="7961630" cy="5631180"/>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7882255" cy="5575935"/>
            <wp:effectExtent l="0" t="0" r="4445" b="5715"/>
            <wp:docPr id="8" name="图片 8" descr="福建省水文水资源勘测中心桂香街实验室外立面改造项目6-15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福建省水文水资源勘测中心桂香街实验室外立面改造项目6-15_页面_07"/>
                    <pic:cNvPicPr>
                      <a:picLocks noChangeAspect="1"/>
                    </pic:cNvPicPr>
                  </pic:nvPicPr>
                  <pic:blipFill>
                    <a:blip r:embed="rId12"/>
                    <a:stretch>
                      <a:fillRect/>
                    </a:stretch>
                  </pic:blipFill>
                  <pic:spPr>
                    <a:xfrm>
                      <a:off x="0" y="0"/>
                      <a:ext cx="7882255" cy="5575935"/>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7939405" cy="5615940"/>
            <wp:effectExtent l="0" t="0" r="4445" b="3810"/>
            <wp:docPr id="7" name="图片 7" descr="福建省水文水资源勘测中心桂香街实验室外立面改造项目6-15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福建省水文水资源勘测中心桂香街实验室外立面改造项目6-15_页面_08"/>
                    <pic:cNvPicPr>
                      <a:picLocks noChangeAspect="1"/>
                    </pic:cNvPicPr>
                  </pic:nvPicPr>
                  <pic:blipFill>
                    <a:blip r:embed="rId13"/>
                    <a:stretch>
                      <a:fillRect/>
                    </a:stretch>
                  </pic:blipFill>
                  <pic:spPr>
                    <a:xfrm>
                      <a:off x="0" y="0"/>
                      <a:ext cx="7939405" cy="5615940"/>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7848600" cy="5551170"/>
            <wp:effectExtent l="0" t="0" r="0" b="11430"/>
            <wp:docPr id="6" name="图片 6" descr="福建省水文水资源勘测中心桂香街实验室外立面改造项目6-15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福建省水文水资源勘测中心桂香街实验室外立面改造项目6-15_页面_09"/>
                    <pic:cNvPicPr>
                      <a:picLocks noChangeAspect="1"/>
                    </pic:cNvPicPr>
                  </pic:nvPicPr>
                  <pic:blipFill>
                    <a:blip r:embed="rId14"/>
                    <a:stretch>
                      <a:fillRect/>
                    </a:stretch>
                  </pic:blipFill>
                  <pic:spPr>
                    <a:xfrm>
                      <a:off x="0" y="0"/>
                      <a:ext cx="7848600" cy="5551170"/>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8085455" cy="5718810"/>
            <wp:effectExtent l="0" t="0" r="10795" b="15240"/>
            <wp:docPr id="5" name="图片 5" descr="福建省水文水资源勘测中心桂香街实验室外立面改造项目6-15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福建省水文水资源勘测中心桂香街实验室外立面改造项目6-15_页面_10"/>
                    <pic:cNvPicPr>
                      <a:picLocks noChangeAspect="1"/>
                    </pic:cNvPicPr>
                  </pic:nvPicPr>
                  <pic:blipFill>
                    <a:blip r:embed="rId15"/>
                    <a:stretch>
                      <a:fillRect/>
                    </a:stretch>
                  </pic:blipFill>
                  <pic:spPr>
                    <a:xfrm>
                      <a:off x="0" y="0"/>
                      <a:ext cx="8085455" cy="5718810"/>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7945120" cy="5620385"/>
            <wp:effectExtent l="0" t="0" r="17780" b="18415"/>
            <wp:docPr id="4" name="图片 4" descr="福建省水文水资源勘测中心桂香街实验室外立面改造项目6-15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福建省水文水资源勘测中心桂香街实验室外立面改造项目6-15_页面_11"/>
                    <pic:cNvPicPr>
                      <a:picLocks noChangeAspect="1"/>
                    </pic:cNvPicPr>
                  </pic:nvPicPr>
                  <pic:blipFill>
                    <a:blip r:embed="rId16"/>
                    <a:stretch>
                      <a:fillRect/>
                    </a:stretch>
                  </pic:blipFill>
                  <pic:spPr>
                    <a:xfrm>
                      <a:off x="0" y="0"/>
                      <a:ext cx="7945120" cy="5620385"/>
                    </a:xfrm>
                    <a:prstGeom prst="rect">
                      <a:avLst/>
                    </a:prstGeom>
                  </pic:spPr>
                </pic:pic>
              </a:graphicData>
            </a:graphic>
          </wp:inline>
        </w:drawing>
      </w:r>
    </w:p>
    <w:p>
      <w:r>
        <w:rPr>
          <w:rFonts w:hint="default" w:ascii="仿宋" w:hAnsi="仿宋" w:eastAsia="仿宋" w:cs="仿宋"/>
          <w:bCs/>
          <w:color w:val="auto"/>
          <w:sz w:val="28"/>
          <w:szCs w:val="30"/>
          <w:highlight w:val="none"/>
          <w:u w:val="none"/>
          <w:lang w:val="en-US" w:eastAsia="zh-CN"/>
        </w:rPr>
        <w:drawing>
          <wp:inline distT="0" distB="0" distL="114300" distR="114300">
            <wp:extent cx="8189595" cy="5790565"/>
            <wp:effectExtent l="0" t="0" r="1905" b="635"/>
            <wp:docPr id="28" name="图片 28" descr="福建省水文水资源勘测中心桂香街实验室外立面改造项目6-15 Model (1)_页面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福建省水文水资源勘测中心桂香街实验室外立面改造项目6-15 Model (1)_页面_12"/>
                    <pic:cNvPicPr>
                      <a:picLocks noChangeAspect="1"/>
                    </pic:cNvPicPr>
                  </pic:nvPicPr>
                  <pic:blipFill>
                    <a:blip r:embed="rId17"/>
                    <a:stretch>
                      <a:fillRect/>
                    </a:stretch>
                  </pic:blipFill>
                  <pic:spPr>
                    <a:xfrm>
                      <a:off x="0" y="0"/>
                      <a:ext cx="8189595" cy="5790565"/>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8189595" cy="5790565"/>
            <wp:effectExtent l="0" t="0" r="1905" b="635"/>
            <wp:docPr id="27" name="图片 27" descr="福建省水文水资源勘测中心桂香街实验室外立面改造项目6-15 Model (1)_页面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福建省水文水资源勘测中心桂香街实验室外立面改造项目6-15 Model (1)_页面_13"/>
                    <pic:cNvPicPr>
                      <a:picLocks noChangeAspect="1"/>
                    </pic:cNvPicPr>
                  </pic:nvPicPr>
                  <pic:blipFill>
                    <a:blip r:embed="rId18"/>
                    <a:stretch>
                      <a:fillRect/>
                    </a:stretch>
                  </pic:blipFill>
                  <pic:spPr>
                    <a:xfrm>
                      <a:off x="0" y="0"/>
                      <a:ext cx="8189595" cy="5790565"/>
                    </a:xfrm>
                    <a:prstGeom prst="rect">
                      <a:avLst/>
                    </a:prstGeom>
                  </pic:spPr>
                </pic:pic>
              </a:graphicData>
            </a:graphic>
          </wp:inline>
        </w:drawing>
      </w:r>
      <w:r>
        <w:rPr>
          <w:rFonts w:hint="default" w:ascii="仿宋" w:hAnsi="仿宋" w:eastAsia="仿宋" w:cs="仿宋"/>
          <w:bCs/>
          <w:color w:val="auto"/>
          <w:sz w:val="28"/>
          <w:szCs w:val="30"/>
          <w:highlight w:val="none"/>
          <w:u w:val="none"/>
          <w:lang w:val="en-US" w:eastAsia="zh-CN"/>
        </w:rPr>
        <w:drawing>
          <wp:inline distT="0" distB="0" distL="114300" distR="114300">
            <wp:extent cx="8189595" cy="5790565"/>
            <wp:effectExtent l="0" t="0" r="1905" b="635"/>
            <wp:docPr id="2" name="图片 2" descr="福建省水文水资源勘测中心桂香街实验室外立面改造项目6-15 Model (1)_页面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福建省水文水资源勘测中心桂香街实验室外立面改造项目6-15 Model (1)_页面_13"/>
                    <pic:cNvPicPr>
                      <a:picLocks noChangeAspect="1"/>
                    </pic:cNvPicPr>
                  </pic:nvPicPr>
                  <pic:blipFill>
                    <a:blip r:embed="rId18"/>
                    <a:stretch>
                      <a:fillRect/>
                    </a:stretch>
                  </pic:blipFill>
                  <pic:spPr>
                    <a:xfrm>
                      <a:off x="0" y="0"/>
                      <a:ext cx="8189595" cy="5790565"/>
                    </a:xfrm>
                    <a:prstGeom prst="rect">
                      <a:avLst/>
                    </a:prstGeom>
                  </pic:spPr>
                </pic:pic>
              </a:graphicData>
            </a:graphic>
          </wp:inline>
        </w:drawing>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D88DB"/>
    <w:multiLevelType w:val="multilevel"/>
    <w:tmpl w:val="83BD88DB"/>
    <w:lvl w:ilvl="0" w:tentative="0">
      <w:start w:val="1"/>
      <w:numFmt w:val="decimal"/>
      <w:pStyle w:val="3"/>
      <w:suff w:val="nothing"/>
      <w:lvlText w:val="%1. "/>
      <w:lvlJc w:val="left"/>
      <w:pPr>
        <w:tabs>
          <w:tab w:val="left" w:pos="0"/>
        </w:tabs>
        <w:ind w:left="0" w:firstLine="0"/>
      </w:pPr>
      <w:rPr>
        <w:rFonts w:hint="default" w:ascii="宋体" w:hAnsi="宋体" w:eastAsia="宋体" w:cs="宋体"/>
        <w:b/>
        <w:i w:val="0"/>
        <w:sz w:val="32"/>
        <w:szCs w:val="32"/>
      </w:rPr>
    </w:lvl>
    <w:lvl w:ilvl="1" w:tentative="0">
      <w:start w:val="1"/>
      <w:numFmt w:val="decimal"/>
      <w:pStyle w:val="4"/>
      <w:suff w:val="nothing"/>
      <w:lvlText w:val="%1.%2　"/>
      <w:lvlJc w:val="left"/>
      <w:pPr>
        <w:ind w:left="0" w:firstLine="0"/>
      </w:pPr>
      <w:rPr>
        <w:rFonts w:hint="default" w:ascii="Times New Roman" w:hAnsi="Times New Roman" w:eastAsia="黑体" w:cs="黑体"/>
        <w:b w:val="0"/>
        <w:bCs/>
        <w:i w:val="0"/>
        <w:color w:val="auto"/>
        <w:sz w:val="30"/>
        <w:szCs w:val="30"/>
        <w:u w:val="none"/>
      </w:rPr>
    </w:lvl>
    <w:lvl w:ilvl="2" w:tentative="0">
      <w:start w:val="1"/>
      <w:numFmt w:val="decimal"/>
      <w:suff w:val="nothing"/>
      <w:lvlText w:val="%1.%2.%3　"/>
      <w:lvlJc w:val="left"/>
      <w:pPr>
        <w:ind w:left="0" w:firstLine="0"/>
      </w:pPr>
      <w:rPr>
        <w:rFonts w:hint="default" w:ascii="Times New Roman" w:hAnsi="Times New Roman" w:eastAsia="黑体" w:cs="黑体"/>
        <w:b/>
        <w:i w:val="0"/>
        <w:sz w:val="28"/>
        <w:szCs w:val="28"/>
      </w:rPr>
    </w:lvl>
    <w:lvl w:ilvl="3" w:tentative="0">
      <w:start w:val="1"/>
      <w:numFmt w:val="decimal"/>
      <w:suff w:val="nothing"/>
      <w:lvlText w:val="%1.%2.%3.%4　"/>
      <w:lvlJc w:val="left"/>
      <w:pPr>
        <w:ind w:left="0" w:firstLine="0"/>
      </w:pPr>
      <w:rPr>
        <w:rFonts w:hint="default" w:ascii="Times New Roman" w:hAnsi="Times New Roman" w:eastAsia="黑体" w:cs="黑体"/>
        <w:b w:val="0"/>
        <w:i w:val="0"/>
        <w:sz w:val="28"/>
        <w:szCs w:val="28"/>
      </w:rPr>
    </w:lvl>
    <w:lvl w:ilvl="4" w:tentative="0">
      <w:start w:val="1"/>
      <w:numFmt w:val="decimal"/>
      <w:suff w:val="nothing"/>
      <w:lvlText w:val="　　%5）"/>
      <w:lvlJc w:val="left"/>
      <w:pPr>
        <w:ind w:left="0" w:firstLine="0"/>
      </w:pPr>
      <w:rPr>
        <w:rFonts w:hint="default" w:ascii="Times New Roman" w:hAnsi="Times New Roman" w:eastAsia="仿宋_GB2312" w:cs="仿宋_GB2312"/>
        <w:b w:val="0"/>
        <w:i w:val="0"/>
        <w:sz w:val="28"/>
        <w:szCs w:val="28"/>
      </w:rPr>
    </w:lvl>
    <w:lvl w:ilvl="5" w:tentative="0">
      <w:start w:val="1"/>
      <w:numFmt w:val="decimal"/>
      <w:suff w:val="nothing"/>
      <w:lvlText w:val="　　（%6）"/>
      <w:lvlJc w:val="left"/>
      <w:pPr>
        <w:ind w:left="0" w:firstLine="0"/>
      </w:pPr>
      <w:rPr>
        <w:rFonts w:hint="default" w:ascii="Times New Roman" w:hAnsi="Times New Roman" w:eastAsia="仿宋_GB2312" w:cs="仿宋_GB2312"/>
        <w:b w:val="0"/>
        <w:i w:val="0"/>
        <w:sz w:val="28"/>
        <w:szCs w:val="28"/>
      </w:rPr>
    </w:lvl>
    <w:lvl w:ilvl="6" w:tentative="0">
      <w:start w:val="1"/>
      <w:numFmt w:val="upperLetter"/>
      <w:suff w:val="nothing"/>
      <w:lvlText w:val="　　%7）"/>
      <w:lvlJc w:val="left"/>
      <w:pPr>
        <w:ind w:left="0" w:firstLine="0"/>
      </w:pPr>
      <w:rPr>
        <w:rFonts w:hint="default" w:ascii="Times New Roman" w:hAnsi="Times New Roman" w:eastAsia="仿宋_GB2312" w:cs="仿宋_GB2312"/>
        <w:sz w:val="28"/>
        <w:szCs w:val="28"/>
      </w:rPr>
    </w:lvl>
    <w:lvl w:ilvl="7" w:tentative="0">
      <w:start w:val="1"/>
      <w:numFmt w:val="decimal"/>
      <w:lvlRestart w:val="2"/>
      <w:suff w:val="nothing"/>
      <w:lvlText w:val="图%1.%2-%8 "/>
      <w:lvlJc w:val="left"/>
      <w:pPr>
        <w:tabs>
          <w:tab w:val="left" w:pos="0"/>
        </w:tabs>
        <w:ind w:left="0" w:firstLine="0"/>
      </w:pPr>
      <w:rPr>
        <w:rFonts w:hint="default" w:ascii="Times New Roman" w:hAnsi="Times New Roman" w:eastAsia="黑体" w:cs="宋体"/>
        <w:b w:val="0"/>
        <w:i w:val="0"/>
        <w:vanish w:val="0"/>
        <w:sz w:val="24"/>
        <w:szCs w:val="24"/>
      </w:rPr>
    </w:lvl>
    <w:lvl w:ilvl="8" w:tentative="0">
      <w:start w:val="1"/>
      <w:numFmt w:val="decimal"/>
      <w:lvlRestart w:val="2"/>
      <w:suff w:val="nothing"/>
      <w:lvlText w:val="表%1.%2-%9 "/>
      <w:lvlJc w:val="left"/>
      <w:pPr>
        <w:ind w:left="0" w:firstLine="0"/>
      </w:pPr>
      <w:rPr>
        <w:rFonts w:hint="default" w:ascii="Times New Roman" w:hAnsi="Times New Roman" w:eastAsia="黑体" w:cs="黑体"/>
        <w:sz w:val="24"/>
        <w:szCs w:val="24"/>
      </w:rPr>
    </w:lvl>
  </w:abstractNum>
  <w:abstractNum w:abstractNumId="1">
    <w:nsid w:val="A48814BA"/>
    <w:multiLevelType w:val="singleLevel"/>
    <w:tmpl w:val="A48814B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845FC"/>
    <w:rsid w:val="04CF63CC"/>
    <w:rsid w:val="06FC4334"/>
    <w:rsid w:val="0C1705EB"/>
    <w:rsid w:val="0EA048F6"/>
    <w:rsid w:val="1BDE341A"/>
    <w:rsid w:val="1C4D7C29"/>
    <w:rsid w:val="1C6343D3"/>
    <w:rsid w:val="212B4B0D"/>
    <w:rsid w:val="22317971"/>
    <w:rsid w:val="29140BF0"/>
    <w:rsid w:val="2A3050E9"/>
    <w:rsid w:val="2A4370E4"/>
    <w:rsid w:val="2C7A0CE6"/>
    <w:rsid w:val="2D7B7710"/>
    <w:rsid w:val="2E0E0B5E"/>
    <w:rsid w:val="34205282"/>
    <w:rsid w:val="353B18AC"/>
    <w:rsid w:val="368B3C8B"/>
    <w:rsid w:val="37406C32"/>
    <w:rsid w:val="39C17F3A"/>
    <w:rsid w:val="3A7257F0"/>
    <w:rsid w:val="40990E0B"/>
    <w:rsid w:val="44ED35CE"/>
    <w:rsid w:val="46F32B98"/>
    <w:rsid w:val="50255AFB"/>
    <w:rsid w:val="54D70C10"/>
    <w:rsid w:val="560C4450"/>
    <w:rsid w:val="56A3747F"/>
    <w:rsid w:val="57F24B59"/>
    <w:rsid w:val="58BB7D7E"/>
    <w:rsid w:val="59A731AE"/>
    <w:rsid w:val="5F392EA4"/>
    <w:rsid w:val="5F5927FB"/>
    <w:rsid w:val="6B7C4FDF"/>
    <w:rsid w:val="6BA90B30"/>
    <w:rsid w:val="6C0D4AD4"/>
    <w:rsid w:val="6D796A81"/>
    <w:rsid w:val="75B50243"/>
    <w:rsid w:val="75BD0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80" w:beforeLines="80"/>
      <w:ind w:firstLineChars="0"/>
      <w:jc w:val="left"/>
      <w:outlineLvl w:val="0"/>
    </w:pPr>
    <w:rPr>
      <w:rFonts w:eastAsia="黑体"/>
      <w:b/>
      <w:bCs/>
      <w:kern w:val="0"/>
      <w:sz w:val="32"/>
      <w:szCs w:val="44"/>
    </w:rPr>
  </w:style>
  <w:style w:type="paragraph" w:styleId="4">
    <w:name w:val="heading 2"/>
    <w:basedOn w:val="1"/>
    <w:next w:val="1"/>
    <w:semiHidden/>
    <w:unhideWhenUsed/>
    <w:qFormat/>
    <w:uiPriority w:val="0"/>
    <w:pPr>
      <w:keepNext/>
      <w:keepLines/>
      <w:numPr>
        <w:ilvl w:val="1"/>
        <w:numId w:val="1"/>
      </w:numPr>
      <w:ind w:firstLineChars="0"/>
      <w:outlineLvl w:val="1"/>
    </w:pPr>
    <w:rPr>
      <w:rFonts w:eastAsia="黑体" w:cstheme="majorBidi"/>
      <w:b/>
      <w:bCs/>
      <w:kern w:val="0"/>
      <w:sz w:val="30"/>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textAlignment w:val="baseline"/>
    </w:pPr>
    <w:rPr>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Times New Roman" w:cs="Times New Roman"/>
      <w:color w:val="000000"/>
      <w:kern w:val="0"/>
      <w:sz w:val="18"/>
      <w:lang w:eastAsia="en-US" w:bidi="en-US"/>
    </w:rPr>
  </w:style>
  <w:style w:type="character" w:styleId="10">
    <w:name w:val="Strong"/>
    <w:basedOn w:val="9"/>
    <w:qFormat/>
    <w:uiPriority w:val="0"/>
    <w:rPr>
      <w:b/>
      <w:bCs/>
    </w:rPr>
  </w:style>
  <w:style w:type="paragraph" w:customStyle="1" w:styleId="11">
    <w:name w:val="实施方案2"/>
    <w:basedOn w:val="1"/>
    <w:qFormat/>
    <w:uiPriority w:val="0"/>
    <w:pPr>
      <w:keepNext/>
      <w:keepLines/>
      <w:adjustRightInd w:val="0"/>
      <w:spacing w:before="200" w:after="200" w:line="600" w:lineRule="exact"/>
      <w:ind w:left="-560" w:leftChars="-200" w:firstLine="643"/>
      <w:contextualSpacing/>
      <w:outlineLvl w:val="1"/>
    </w:pPr>
    <w:rPr>
      <w:rFonts w:ascii="Calibri" w:hAnsi="Calibri" w:eastAsia="黑体"/>
      <w:b/>
      <w:szCs w:val="20"/>
    </w:rPr>
  </w:style>
  <w:style w:type="paragraph" w:customStyle="1" w:styleId="12">
    <w:name w:val="Body text|1"/>
    <w:basedOn w:val="1"/>
    <w:qFormat/>
    <w:uiPriority w:val="0"/>
    <w:pPr>
      <w:spacing w:line="437" w:lineRule="auto"/>
      <w:ind w:firstLine="400"/>
    </w:pPr>
    <w:rPr>
      <w:rFonts w:ascii="宋体" w:hAnsi="宋体" w:eastAsia="宋体" w:cs="宋体"/>
      <w:color w:val="404041"/>
      <w:sz w:val="30"/>
      <w:szCs w:val="30"/>
      <w:lang w:val="zh-TW" w:eastAsia="zh-TW" w:bidi="zh-TW"/>
    </w:rPr>
  </w:style>
  <w:style w:type="paragraph" w:customStyle="1" w:styleId="13">
    <w:name w:val="Heading #3|1"/>
    <w:basedOn w:val="1"/>
    <w:qFormat/>
    <w:uiPriority w:val="0"/>
    <w:pPr>
      <w:spacing w:after="860" w:line="605" w:lineRule="exact"/>
      <w:jc w:val="center"/>
      <w:outlineLvl w:val="2"/>
    </w:pPr>
    <w:rPr>
      <w:rFonts w:ascii="宋体" w:hAnsi="宋体" w:eastAsia="宋体" w:cs="宋体"/>
      <w:sz w:val="36"/>
      <w:szCs w:val="36"/>
      <w:lang w:val="zh-TW" w:eastAsia="zh-TW" w:bidi="zh-TW"/>
    </w:rPr>
  </w:style>
  <w:style w:type="paragraph" w:customStyle="1" w:styleId="14">
    <w:name w:val="表格文字"/>
    <w:next w:val="1"/>
    <w:qFormat/>
    <w:uiPriority w:val="0"/>
    <w:pPr>
      <w:jc w:val="center"/>
    </w:pPr>
    <w:rPr>
      <w:rFonts w:ascii="Times New Roman" w:hAnsi="Times New Roman" w:eastAsia="仿宋_GB2312" w:cstheme="minorBidi"/>
      <w:bCs/>
      <w:kern w:val="2"/>
      <w:sz w:val="24"/>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2026-04-28T07:21:00Z</dcterms:created>
  <dc:creator>GTJ</dc:creator>
  <cp:lastModifiedBy>龚湜均</cp:lastModifiedBy>
  <dcterms:modified xsi:type="dcterms:W3CDTF">2026-09-02T03:12:21Z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ABB0890DB23B48E59704038413AF2475</vt:lpwstr>
  </property>
</Properties>
</file>