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8AF56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w:t>
      </w:r>
      <w:bookmarkStart w:id="0" w:name="_GoBack"/>
      <w:bookmarkEnd w:id="0"/>
      <w:r>
        <w:rPr>
          <w:rFonts w:hint="eastAsia" w:ascii="黑体" w:hAnsi="黑体" w:eastAsia="黑体" w:cs="黑体"/>
          <w:sz w:val="32"/>
          <w:szCs w:val="32"/>
          <w:highlight w:val="none"/>
          <w:lang w:val="en-US" w:eastAsia="zh-CN"/>
        </w:rPr>
        <w:t>件3</w:t>
      </w:r>
    </w:p>
    <w:p w14:paraId="6314B7F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kern w:val="0"/>
          <w:sz w:val="36"/>
          <w:szCs w:val="36"/>
          <w:highlight w:val="none"/>
          <w:lang w:val="en-US" w:eastAsia="zh-CN" w:bidi="ar"/>
        </w:rPr>
      </w:pPr>
      <w:r>
        <w:rPr>
          <w:rFonts w:hint="eastAsia" w:ascii="方正小标宋简体" w:hAnsi="方正小标宋简体" w:eastAsia="方正小标宋简体" w:cs="方正小标宋简体"/>
          <w:b w:val="0"/>
          <w:bCs w:val="0"/>
          <w:kern w:val="0"/>
          <w:sz w:val="36"/>
          <w:szCs w:val="36"/>
          <w:highlight w:val="none"/>
          <w:lang w:val="en-US" w:eastAsia="zh-CN" w:bidi="ar"/>
        </w:rPr>
        <w:t>项目内容及要求</w:t>
      </w:r>
    </w:p>
    <w:p w14:paraId="0639EE6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kern w:val="0"/>
          <w:sz w:val="36"/>
          <w:szCs w:val="36"/>
          <w:highlight w:val="none"/>
          <w:lang w:val="en-US" w:eastAsia="zh-CN" w:bidi="ar"/>
        </w:rPr>
      </w:pPr>
    </w:p>
    <w:p w14:paraId="68104AE3">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（一）典型洪水灾害防御历史数据收集整理</w:t>
      </w:r>
    </w:p>
    <w:p w14:paraId="6ED66881">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系统收集“十四五”以来福建省典型洪水灾害防御历史数据，洪水灾害数据涵盖：暴雨洪水事件</w:t>
      </w:r>
      <w:r>
        <w:rPr>
          <w:rFonts w:hint="default" w:ascii="仿宋_GB2312" w:hAnsi="黑体" w:eastAsia="仿宋_GB2312" w:cstheme="minorBidi"/>
          <w:kern w:val="2"/>
          <w:sz w:val="32"/>
          <w:szCs w:val="32"/>
          <w:highlight w:val="none"/>
          <w:lang w:bidi="ar-SA"/>
        </w:rPr>
        <w:t>发生时间</w:t>
      </w:r>
      <w:r>
        <w:rPr>
          <w:rFonts w:hint="eastAsia" w:ascii="仿宋_GB2312" w:hAnsi="仿宋_GB2312" w:eastAsia="仿宋_GB2312" w:cs="仿宋_GB2312"/>
          <w:sz w:val="32"/>
          <w:szCs w:val="32"/>
          <w:highlight w:val="none"/>
          <w:lang w:val="en-US" w:eastAsia="zh-CN"/>
        </w:rPr>
        <w:t>、影响范围、洪峰水位、洪峰流量、超警戒/超保证水位、水利工程水毁、受灾人口、直接经济损失等信息。</w:t>
      </w:r>
    </w:p>
    <w:p w14:paraId="76E2D5B5">
      <w:pPr>
        <w:tabs>
          <w:tab w:val="left" w:pos="6000"/>
        </w:tabs>
        <w:adjustRightInd/>
        <w:snapToGrid/>
        <w:spacing w:beforeAutospacing="0" w:afterAutospacing="0" w:line="240" w:lineRule="auto"/>
        <w:ind w:left="0" w:leftChars="0" w:right="0" w:rightChars="0" w:firstLine="640" w:firstLineChars="200"/>
        <w:jc w:val="left"/>
        <w:rPr>
          <w:rFonts w:hint="default" w:ascii="仿宋_GB2312" w:hAnsi="黑体" w:eastAsia="仿宋_GB2312" w:cstheme="minorBidi"/>
          <w:kern w:val="2"/>
          <w:sz w:val="32"/>
          <w:szCs w:val="32"/>
          <w:highlight w:val="none"/>
          <w:lang w:bidi="ar-SA"/>
        </w:rPr>
      </w:pPr>
      <w:r>
        <w:rPr>
          <w:rFonts w:hint="eastAsia" w:ascii="仿宋_GB2312" w:hAnsi="仿宋_GB2312" w:eastAsia="仿宋_GB2312" w:cs="仿宋_GB2312"/>
          <w:sz w:val="32"/>
          <w:szCs w:val="32"/>
          <w:highlight w:val="none"/>
          <w:lang w:val="en-US" w:eastAsia="zh-CN"/>
        </w:rPr>
        <w:t>来源包括：</w:t>
      </w:r>
      <w:r>
        <w:rPr>
          <w:rFonts w:hint="default" w:ascii="仿宋_GB2312" w:hAnsi="黑体" w:eastAsia="仿宋_GB2312" w:cstheme="minorBidi"/>
          <w:kern w:val="2"/>
          <w:sz w:val="32"/>
          <w:szCs w:val="32"/>
          <w:highlight w:val="none"/>
          <w:lang w:bidi="ar-SA"/>
        </w:rPr>
        <w:t>福建省水文水资源勘测中心水文年鉴（含历年降水量、流量、水位整编成果）；省、市、县三级水旱灾害防御统计报表及总结；已出版的水旱灾害风险普查成果、洪水风险图成果；福建省地方志、水利志中的灾害记载；各级防汛抗旱指挥部历史文件及调度记录</w:t>
      </w:r>
      <w:r>
        <w:rPr>
          <w:rFonts w:hint="eastAsia" w:ascii="仿宋_GB2312" w:hAnsi="黑体" w:eastAsia="仿宋_GB2312" w:cstheme="minorBidi"/>
          <w:kern w:val="2"/>
          <w:sz w:val="32"/>
          <w:szCs w:val="32"/>
          <w:highlight w:val="none"/>
          <w:lang w:val="en-US" w:eastAsia="zh-CN" w:bidi="ar-SA"/>
        </w:rPr>
        <w:t>等</w:t>
      </w:r>
      <w:r>
        <w:rPr>
          <w:rFonts w:hint="default" w:ascii="仿宋_GB2312" w:hAnsi="黑体" w:eastAsia="仿宋_GB2312" w:cstheme="minorBidi"/>
          <w:kern w:val="2"/>
          <w:sz w:val="32"/>
          <w:szCs w:val="32"/>
          <w:highlight w:val="none"/>
          <w:lang w:bidi="ar-SA"/>
        </w:rPr>
        <w:t>。</w:t>
      </w:r>
    </w:p>
    <w:p w14:paraId="15C0F75E">
      <w:pPr>
        <w:adjustRightInd/>
        <w:snapToGrid/>
        <w:spacing w:beforeAutospacing="0" w:afterAutospacing="0" w:line="240" w:lineRule="auto"/>
        <w:ind w:left="0" w:leftChars="0" w:right="0" w:rightChars="0" w:firstLine="640" w:firstLineChars="200"/>
        <w:jc w:val="left"/>
        <w:rPr>
          <w:rFonts w:hint="default" w:ascii="仿宋_GB2312" w:hAnsi="黑体" w:eastAsia="仿宋_GB2312" w:cstheme="minorBidi"/>
          <w:kern w:val="2"/>
          <w:sz w:val="32"/>
          <w:szCs w:val="32"/>
          <w:highlight w:val="none"/>
          <w:lang w:bidi="ar-SA"/>
        </w:rPr>
      </w:pPr>
      <w:r>
        <w:rPr>
          <w:rFonts w:hint="default" w:ascii="仿宋_GB2312" w:hAnsi="黑体" w:eastAsia="仿宋_GB2312" w:cstheme="minorBidi"/>
          <w:kern w:val="2"/>
          <w:sz w:val="32"/>
          <w:szCs w:val="32"/>
          <w:highlight w:val="none"/>
          <w:lang w:bidi="ar-SA"/>
        </w:rPr>
        <w:t>参照《水旱灾害防御统计调查制度》（国统办函〔2026〕444号）确定的统计口径和指标体系，按照</w:t>
      </w:r>
      <w:r>
        <w:rPr>
          <w:rFonts w:hint="eastAsia" w:ascii="仿宋_GB2312" w:hAnsi="黑体" w:cstheme="minorBidi"/>
          <w:kern w:val="2"/>
          <w:sz w:val="32"/>
          <w:szCs w:val="32"/>
          <w:highlight w:val="none"/>
          <w:lang w:eastAsia="zh-CN" w:bidi="ar-SA"/>
        </w:rPr>
        <w:t>“</w:t>
      </w:r>
      <w:r>
        <w:rPr>
          <w:rFonts w:hint="default" w:ascii="仿宋_GB2312" w:hAnsi="黑体" w:eastAsia="仿宋_GB2312" w:cstheme="minorBidi"/>
          <w:kern w:val="2"/>
          <w:sz w:val="32"/>
          <w:szCs w:val="32"/>
          <w:highlight w:val="none"/>
          <w:lang w:bidi="ar-SA"/>
        </w:rPr>
        <w:t>在地统计</w:t>
      </w:r>
      <w:r>
        <w:rPr>
          <w:rFonts w:hint="eastAsia" w:ascii="仿宋_GB2312" w:hAnsi="黑体" w:cstheme="minorBidi"/>
          <w:kern w:val="2"/>
          <w:sz w:val="32"/>
          <w:szCs w:val="32"/>
          <w:highlight w:val="none"/>
          <w:lang w:eastAsia="zh-CN" w:bidi="ar-SA"/>
        </w:rPr>
        <w:t>”</w:t>
      </w:r>
      <w:r>
        <w:rPr>
          <w:rFonts w:hint="default" w:ascii="仿宋_GB2312" w:hAnsi="黑体" w:eastAsia="仿宋_GB2312" w:cstheme="minorBidi"/>
          <w:kern w:val="2"/>
          <w:sz w:val="32"/>
          <w:szCs w:val="32"/>
          <w:highlight w:val="none"/>
          <w:lang w:bidi="ar-SA"/>
        </w:rPr>
        <w:t>原则进行数据归集与校核</w:t>
      </w:r>
      <w:r>
        <w:rPr>
          <w:rFonts w:hint="default" w:ascii="仿宋_GB2312" w:hAnsi="黑体" w:eastAsia="仿宋_GB2312" w:cstheme="minorBidi"/>
          <w:kern w:val="2"/>
          <w:sz w:val="32"/>
          <w:szCs w:val="32"/>
          <w:highlight w:val="none"/>
          <w:lang w:bidi="ar-SA"/>
        </w:rPr>
        <w:fldChar w:fldCharType="begin"/>
      </w:r>
      <w:r>
        <w:rPr>
          <w:rFonts w:hint="default" w:ascii="仿宋_GB2312" w:hAnsi="黑体" w:eastAsia="仿宋_GB2312" w:cstheme="minorBidi"/>
          <w:kern w:val="2"/>
          <w:sz w:val="32"/>
          <w:szCs w:val="32"/>
          <w:highlight w:val="none"/>
          <w:lang w:bidi="ar-SA"/>
        </w:rPr>
        <w:instrText xml:space="preserve"> HYPERLINK "https://www.stats.gov.cn/fw/bmdcxmsp/bmzd/202607/t20260729_1964228.html" \t "https://chat.deepseek.com/a/chat/s/_blank" </w:instrText>
      </w:r>
      <w:r>
        <w:rPr>
          <w:rFonts w:hint="default" w:ascii="仿宋_GB2312" w:hAnsi="黑体" w:eastAsia="仿宋_GB2312" w:cstheme="minorBidi"/>
          <w:kern w:val="2"/>
          <w:sz w:val="32"/>
          <w:szCs w:val="32"/>
          <w:highlight w:val="none"/>
          <w:lang w:bidi="ar-SA"/>
        </w:rPr>
        <w:fldChar w:fldCharType="separate"/>
      </w:r>
      <w:r>
        <w:rPr>
          <w:rFonts w:hint="default" w:ascii="仿宋_GB2312" w:hAnsi="黑体" w:eastAsia="仿宋_GB2312" w:cstheme="minorBidi"/>
          <w:kern w:val="2"/>
          <w:sz w:val="32"/>
          <w:szCs w:val="32"/>
          <w:highlight w:val="none"/>
          <w:lang w:bidi="ar-SA"/>
        </w:rPr>
        <w:fldChar w:fldCharType="end"/>
      </w:r>
      <w:r>
        <w:rPr>
          <w:rFonts w:hint="default" w:ascii="仿宋_GB2312" w:hAnsi="黑体" w:eastAsia="仿宋_GB2312" w:cstheme="minorBidi"/>
          <w:kern w:val="2"/>
          <w:sz w:val="32"/>
          <w:szCs w:val="32"/>
          <w:highlight w:val="none"/>
          <w:lang w:bidi="ar-SA"/>
        </w:rPr>
        <w:t>。建立统一的数据编码体系和字段标准，对收集的数据进行清洗、标准化和结构化处理，形成分类整理的数据集（电子表格/数据库），并编制数据质量说明和来源标注。</w:t>
      </w:r>
    </w:p>
    <w:p w14:paraId="301E3C26">
      <w:pPr>
        <w:adjustRightInd/>
        <w:snapToGrid/>
        <w:spacing w:beforeAutospacing="0" w:afterAutospacing="0" w:line="240" w:lineRule="auto"/>
        <w:ind w:left="0" w:leftChars="0" w:right="0" w:rightChars="0" w:firstLine="640" w:firstLineChars="200"/>
        <w:jc w:val="left"/>
        <w:rPr>
          <w:rFonts w:hint="eastAsia" w:ascii="仿宋_GB2312" w:hAnsi="黑体" w:eastAsia="仿宋_GB2312" w:cstheme="minorBidi"/>
          <w:kern w:val="2"/>
          <w:sz w:val="32"/>
          <w:szCs w:val="32"/>
          <w:highlight w:val="none"/>
          <w:lang w:val="en-US" w:eastAsia="zh-CN" w:bidi="ar-SA"/>
        </w:rPr>
      </w:pPr>
      <w:r>
        <w:rPr>
          <w:rFonts w:hint="default" w:ascii="仿宋_GB2312" w:hAnsi="黑体" w:eastAsia="仿宋_GB2312" w:cstheme="minorBidi"/>
          <w:kern w:val="2"/>
          <w:sz w:val="32"/>
          <w:szCs w:val="32"/>
          <w:highlight w:val="none"/>
          <w:lang w:bidi="ar-SA"/>
        </w:rPr>
        <w:t>该数据集同步接入全省“千库联调”系统平台数据库，可为水库群联合调度提供标准化、长序列的历史洪水灾害防御数据底板，支撑预泄腾库、拦洪削峰、风险研判和调度复盘，提升全省水库防洪联合调度的科学性和精准性。</w:t>
      </w:r>
    </w:p>
    <w:p w14:paraId="272583D9">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（二）典型暴雨洪水水位收集、整理与复核</w:t>
      </w:r>
    </w:p>
    <w:p w14:paraId="0C0CB93D">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综合考量暴雨强度、影响范围、资料代表性，在全省范围内选取典型暴雨洪水过程事件，系统收集典型场次中相关水文站的实测暴雨、洪水、洪水位摘录，调查复核洪痕、水位流量关系及洪水重现期，编制水位成果表。</w:t>
      </w:r>
    </w:p>
    <w:p w14:paraId="61A8C2DA">
      <w:pPr>
        <w:adjustRightInd/>
        <w:snapToGrid/>
        <w:spacing w:beforeAutospacing="0" w:afterAutospacing="0" w:line="240" w:lineRule="auto"/>
        <w:ind w:left="0" w:leftChars="0" w:right="0" w:rightChars="0" w:firstLine="640" w:firstLineChars="200"/>
        <w:jc w:val="left"/>
        <w:rPr>
          <w:rFonts w:hint="default" w:ascii="仿宋_GB2312" w:hAnsi="黑体" w:eastAsia="仿宋_GB2312" w:cstheme="minorBidi"/>
          <w:kern w:val="2"/>
          <w:sz w:val="32"/>
          <w:szCs w:val="32"/>
          <w:highlight w:val="none"/>
          <w:lang w:bidi="ar-SA"/>
        </w:rPr>
      </w:pPr>
      <w:r>
        <w:rPr>
          <w:rFonts w:hint="eastAsia" w:ascii="仿宋_GB2312" w:hAnsi="仿宋_GB2312" w:eastAsia="仿宋_GB2312" w:cs="仿宋_GB2312"/>
          <w:sz w:val="32"/>
          <w:szCs w:val="32"/>
          <w:highlight w:val="none"/>
          <w:lang w:val="en-US" w:eastAsia="zh-CN"/>
        </w:rPr>
        <w:t>资料收集类型应覆盖：</w:t>
      </w:r>
      <w:r>
        <w:rPr>
          <w:rFonts w:hint="default" w:ascii="仿宋_GB2312" w:hAnsi="黑体" w:eastAsia="仿宋_GB2312" w:cstheme="minorBidi"/>
          <w:kern w:val="2"/>
          <w:sz w:val="32"/>
          <w:szCs w:val="32"/>
          <w:highlight w:val="none"/>
          <w:lang w:bidi="ar-SA"/>
        </w:rPr>
        <w:t>各典型场次暴雨洪水期间相关水文站（水位站）的实测水位过程记录、逐日平均水位表、洪水水位摘录表等原始观测资料；收集历史洪水调查成果，包括洪痕高程、洪水水面线、历史洪水排位及重现期考证资料；收集与水位资料配套的降水量、流量等水文要素数据。</w:t>
      </w:r>
    </w:p>
    <w:p w14:paraId="3D89BF9A">
      <w:pPr>
        <w:adjustRightInd/>
        <w:snapToGrid/>
        <w:spacing w:beforeAutospacing="0" w:afterAutospacing="0" w:line="240" w:lineRule="auto"/>
        <w:ind w:left="0" w:leftChars="0" w:right="0" w:rightChars="0" w:firstLine="640" w:firstLineChars="200"/>
        <w:jc w:val="left"/>
        <w:rPr>
          <w:rFonts w:hint="eastAsia" w:ascii="仿宋_GB2312" w:hAnsi="黑体" w:eastAsia="仿宋_GB2312" w:cstheme="minorBidi"/>
          <w:kern w:val="2"/>
          <w:sz w:val="32"/>
          <w:szCs w:val="32"/>
          <w:highlight w:val="none"/>
          <w:lang w:eastAsia="zh-CN" w:bidi="ar-SA"/>
        </w:rPr>
      </w:pPr>
      <w:r>
        <w:rPr>
          <w:rFonts w:hint="eastAsia" w:ascii="仿宋_GB2312" w:hAnsi="黑体" w:eastAsia="仿宋_GB2312" w:cstheme="minorBidi"/>
          <w:kern w:val="2"/>
          <w:sz w:val="32"/>
          <w:szCs w:val="32"/>
          <w:highlight w:val="none"/>
          <w:lang w:val="en-US" w:eastAsia="zh-CN" w:bidi="ar-SA"/>
        </w:rPr>
        <w:t>资料的复核整编工作应包括：</w:t>
      </w:r>
      <w:r>
        <w:rPr>
          <w:rFonts w:hint="default" w:ascii="仿宋_GB2312" w:hAnsi="黑体" w:eastAsia="仿宋_GB2312" w:cstheme="minorBidi"/>
          <w:kern w:val="2"/>
          <w:sz w:val="32"/>
          <w:szCs w:val="32"/>
          <w:highlight w:val="none"/>
          <w:lang w:bidi="ar-SA"/>
        </w:rPr>
        <w:t>水位流量关系复核</w:t>
      </w:r>
      <w:r>
        <w:rPr>
          <w:rFonts w:hint="eastAsia" w:ascii="仿宋_GB2312" w:hAnsi="黑体" w:eastAsia="仿宋_GB2312" w:cstheme="minorBidi"/>
          <w:kern w:val="2"/>
          <w:sz w:val="32"/>
          <w:szCs w:val="32"/>
          <w:highlight w:val="none"/>
          <w:lang w:eastAsia="zh-CN" w:bidi="ar-SA"/>
        </w:rPr>
        <w:t>，</w:t>
      </w:r>
      <w:r>
        <w:rPr>
          <w:rFonts w:hint="default" w:ascii="仿宋_GB2312" w:hAnsi="黑体" w:eastAsia="仿宋_GB2312" w:cstheme="minorBidi"/>
          <w:kern w:val="2"/>
          <w:sz w:val="32"/>
          <w:szCs w:val="32"/>
          <w:highlight w:val="none"/>
          <w:lang w:bidi="ar-SA"/>
        </w:rPr>
        <w:t>依据《水利水电工程水文计算规范》</w:t>
      </w:r>
      <w:r>
        <w:rPr>
          <w:rFonts w:hint="eastAsia" w:ascii="仿宋_GB2312" w:hAnsi="黑体" w:eastAsia="仿宋_GB2312" w:cstheme="minorBidi"/>
          <w:kern w:val="2"/>
          <w:sz w:val="32"/>
          <w:szCs w:val="32"/>
          <w:highlight w:val="none"/>
          <w:lang w:eastAsia="zh-CN" w:bidi="ar-SA"/>
        </w:rPr>
        <w:t>（</w:t>
      </w:r>
      <w:r>
        <w:rPr>
          <w:rFonts w:hint="default" w:ascii="仿宋_GB2312" w:hAnsi="黑体" w:eastAsia="仿宋_GB2312" w:cstheme="minorBidi"/>
          <w:kern w:val="2"/>
          <w:sz w:val="32"/>
          <w:szCs w:val="32"/>
          <w:highlight w:val="none"/>
          <w:lang w:bidi="ar-SA"/>
        </w:rPr>
        <w:t>SL</w:t>
      </w:r>
      <w:r>
        <w:rPr>
          <w:rFonts w:hint="eastAsia" w:ascii="仿宋_GB2312" w:hAnsi="黑体" w:eastAsia="仿宋_GB2312" w:cstheme="minorBidi"/>
          <w:kern w:val="2"/>
          <w:sz w:val="32"/>
          <w:szCs w:val="32"/>
          <w:highlight w:val="none"/>
          <w:lang w:val="en-US" w:eastAsia="zh-CN" w:bidi="ar-SA"/>
        </w:rPr>
        <w:t>/T</w:t>
      </w:r>
      <w:r>
        <w:rPr>
          <w:rFonts w:hint="default" w:ascii="Times New Roman" w:hAnsi="Times New Roman" w:eastAsia="仿宋_GB2312" w:cs="Times New Roman"/>
          <w:kern w:val="2"/>
          <w:sz w:val="32"/>
          <w:szCs w:val="32"/>
          <w:highlight w:val="none"/>
          <w:lang w:val="en-US" w:eastAsia="zh-CN" w:bidi="ar-SA"/>
        </w:rPr>
        <w:t xml:space="preserve"> </w:t>
      </w:r>
      <w:r>
        <w:rPr>
          <w:rFonts w:hint="default" w:ascii="仿宋_GB2312" w:hAnsi="黑体" w:eastAsia="仿宋_GB2312" w:cstheme="minorBidi"/>
          <w:kern w:val="2"/>
          <w:sz w:val="32"/>
          <w:szCs w:val="32"/>
          <w:highlight w:val="none"/>
          <w:lang w:bidi="ar-SA"/>
        </w:rPr>
        <w:t>278</w:t>
      </w:r>
      <w:r>
        <w:rPr>
          <w:rFonts w:hint="eastAsia" w:ascii="仿宋_GB2312" w:hAnsi="黑体" w:eastAsia="仿宋_GB2312" w:cstheme="minorBidi"/>
          <w:kern w:val="2"/>
          <w:sz w:val="32"/>
          <w:szCs w:val="32"/>
          <w:highlight w:val="none"/>
          <w:lang w:val="en-US" w:eastAsia="zh-CN" w:bidi="ar-SA"/>
        </w:rPr>
        <w:t>-2020</w:t>
      </w:r>
      <w:r>
        <w:rPr>
          <w:rFonts w:hint="eastAsia" w:ascii="仿宋_GB2312" w:hAnsi="黑体" w:eastAsia="仿宋_GB2312" w:cstheme="minorBidi"/>
          <w:kern w:val="2"/>
          <w:sz w:val="32"/>
          <w:szCs w:val="32"/>
          <w:highlight w:val="none"/>
          <w:lang w:eastAsia="zh-CN" w:bidi="ar-SA"/>
        </w:rPr>
        <w:t>）</w:t>
      </w:r>
      <w:r>
        <w:rPr>
          <w:rFonts w:hint="default" w:ascii="仿宋_GB2312" w:hAnsi="黑体" w:eastAsia="仿宋_GB2312" w:cstheme="minorBidi"/>
          <w:kern w:val="2"/>
          <w:sz w:val="32"/>
          <w:szCs w:val="32"/>
          <w:highlight w:val="none"/>
          <w:lang w:bidi="ar-SA"/>
        </w:rPr>
        <w:t>，复核各站点水位流量关系曲线的合理性，检查曲线线型、高低水延长是否符合规范要求；上下游水位合理性检查：利用上下游站水位过程线和相关图进行合理性检查，分析水位沿程变化的物理合理性；历史洪水排位与重现期复核：对历史洪水的洪峰水位进行排位和重现期复核，必要时补充调查考证</w:t>
      </w:r>
      <w:r>
        <w:rPr>
          <w:rFonts w:hint="eastAsia" w:ascii="仿宋_GB2312" w:hAnsi="黑体" w:eastAsia="仿宋_GB2312" w:cstheme="minorBidi"/>
          <w:kern w:val="2"/>
          <w:sz w:val="32"/>
          <w:szCs w:val="32"/>
          <w:highlight w:val="none"/>
          <w:lang w:eastAsia="zh-CN" w:bidi="ar-SA"/>
        </w:rPr>
        <w:t>。</w:t>
      </w:r>
    </w:p>
    <w:p w14:paraId="7BF35B7C">
      <w:pPr>
        <w:adjustRightInd/>
        <w:snapToGrid/>
        <w:spacing w:beforeAutospacing="0" w:afterAutospacing="0" w:line="240" w:lineRule="auto"/>
        <w:ind w:left="0" w:leftChars="0" w:right="0" w:rightChars="0" w:firstLine="640" w:firstLineChars="200"/>
        <w:jc w:val="left"/>
        <w:rPr>
          <w:rFonts w:hint="default" w:ascii="仿宋_GB2312" w:hAnsi="黑体" w:eastAsia="仿宋_GB2312" w:cstheme="minorBidi"/>
          <w:kern w:val="2"/>
          <w:sz w:val="32"/>
          <w:szCs w:val="32"/>
          <w:highlight w:val="none"/>
          <w:lang w:bidi="ar-SA"/>
        </w:rPr>
      </w:pPr>
      <w:r>
        <w:rPr>
          <w:rFonts w:hint="eastAsia" w:ascii="仿宋_GB2312" w:hAnsi="仿宋_GB2312" w:eastAsia="仿宋_GB2312" w:cs="仿宋_GB2312"/>
          <w:kern w:val="2"/>
          <w:sz w:val="32"/>
          <w:szCs w:val="32"/>
          <w:highlight w:val="none"/>
          <w:lang w:val="en-US" w:eastAsia="zh-CN" w:bidi="ar-SA"/>
        </w:rPr>
        <w:t>资料整编应</w:t>
      </w:r>
      <w:r>
        <w:rPr>
          <w:rFonts w:hint="default" w:ascii="仿宋_GB2312" w:hAnsi="黑体" w:eastAsia="仿宋_GB2312" w:cstheme="minorBidi"/>
          <w:kern w:val="2"/>
          <w:sz w:val="32"/>
          <w:szCs w:val="32"/>
          <w:highlight w:val="none"/>
          <w:lang w:bidi="ar-SA"/>
        </w:rPr>
        <w:t>按照《水文资料整编规范》（SL/T</w:t>
      </w:r>
      <w:r>
        <w:rPr>
          <w:rFonts w:hint="default" w:ascii="Times New Roman" w:hAnsi="Times New Roman" w:eastAsia="仿宋_GB2312" w:cs="Times New Roman"/>
          <w:kern w:val="2"/>
          <w:sz w:val="32"/>
          <w:szCs w:val="32"/>
          <w:highlight w:val="none"/>
          <w:lang w:bidi="ar-SA"/>
        </w:rPr>
        <w:t xml:space="preserve"> </w:t>
      </w:r>
      <w:r>
        <w:rPr>
          <w:rFonts w:hint="default" w:ascii="仿宋_GB2312" w:hAnsi="黑体" w:eastAsia="仿宋_GB2312" w:cstheme="minorBidi"/>
          <w:kern w:val="2"/>
          <w:sz w:val="32"/>
          <w:szCs w:val="32"/>
          <w:highlight w:val="none"/>
          <w:lang w:bidi="ar-SA"/>
        </w:rPr>
        <w:t>247-2020）和《水文年鉴汇编刊印规范》（SL/T</w:t>
      </w:r>
      <w:r>
        <w:rPr>
          <w:rFonts w:hint="default" w:ascii="Times New Roman" w:hAnsi="Times New Roman" w:eastAsia="仿宋_GB2312" w:cs="Times New Roman"/>
          <w:kern w:val="2"/>
          <w:sz w:val="32"/>
          <w:szCs w:val="32"/>
          <w:highlight w:val="none"/>
          <w:lang w:bidi="ar-SA"/>
        </w:rPr>
        <w:t xml:space="preserve"> </w:t>
      </w:r>
      <w:r>
        <w:rPr>
          <w:rFonts w:hint="default" w:ascii="仿宋_GB2312" w:hAnsi="黑体" w:eastAsia="仿宋_GB2312" w:cstheme="minorBidi"/>
          <w:kern w:val="2"/>
          <w:sz w:val="32"/>
          <w:szCs w:val="32"/>
          <w:highlight w:val="none"/>
          <w:lang w:bidi="ar-SA"/>
        </w:rPr>
        <w:t>460-2020）要求，对收集的原始水位数据进行规范性审查，检查观测记录的完整性、数据格式的规范性</w:t>
      </w:r>
      <w:r>
        <w:rPr>
          <w:rFonts w:hint="default" w:ascii="仿宋_GB2312" w:hAnsi="黑体" w:eastAsia="仿宋_GB2312" w:cstheme="minorBidi"/>
          <w:kern w:val="2"/>
          <w:sz w:val="32"/>
          <w:szCs w:val="32"/>
          <w:highlight w:val="none"/>
          <w:lang w:bidi="ar-SA"/>
        </w:rPr>
        <w:fldChar w:fldCharType="begin"/>
      </w:r>
      <w:r>
        <w:rPr>
          <w:rFonts w:hint="default" w:ascii="仿宋_GB2312" w:hAnsi="黑体" w:eastAsia="仿宋_GB2312" w:cstheme="minorBidi"/>
          <w:kern w:val="2"/>
          <w:sz w:val="32"/>
          <w:szCs w:val="32"/>
          <w:highlight w:val="none"/>
          <w:lang w:bidi="ar-SA"/>
        </w:rPr>
        <w:instrText xml:space="preserve"> HYPERLINK "http://slt.hubei.gov.cn/fbjd/jgdt/202511/t20251105_5805392.shtml" \t "https://chat.deepseek.com/a/chat/s/_blank" </w:instrText>
      </w:r>
      <w:r>
        <w:rPr>
          <w:rFonts w:hint="default" w:ascii="仿宋_GB2312" w:hAnsi="黑体" w:eastAsia="仿宋_GB2312" w:cstheme="minorBidi"/>
          <w:kern w:val="2"/>
          <w:sz w:val="32"/>
          <w:szCs w:val="32"/>
          <w:highlight w:val="none"/>
          <w:lang w:bidi="ar-SA"/>
        </w:rPr>
        <w:fldChar w:fldCharType="separate"/>
      </w:r>
      <w:r>
        <w:rPr>
          <w:rFonts w:hint="default" w:ascii="仿宋_GB2312" w:hAnsi="黑体" w:eastAsia="仿宋_GB2312" w:cstheme="minorBidi"/>
          <w:kern w:val="2"/>
          <w:sz w:val="32"/>
          <w:szCs w:val="32"/>
          <w:highlight w:val="none"/>
          <w:lang w:bidi="ar-SA"/>
        </w:rPr>
        <w:fldChar w:fldCharType="end"/>
      </w:r>
      <w:r>
        <w:rPr>
          <w:rFonts w:hint="default" w:ascii="仿宋_GB2312" w:hAnsi="黑体" w:eastAsia="仿宋_GB2312" w:cstheme="minorBidi"/>
          <w:kern w:val="2"/>
          <w:sz w:val="32"/>
          <w:szCs w:val="32"/>
          <w:highlight w:val="none"/>
          <w:lang w:bidi="ar-SA"/>
        </w:rPr>
        <w:t>；统一高程基准，对采用不同高程系统的水位资料进行换算和归化。</w:t>
      </w:r>
    </w:p>
    <w:p w14:paraId="02AF8ED8">
      <w:pPr>
        <w:adjustRightInd/>
        <w:snapToGrid/>
        <w:spacing w:beforeAutospacing="0" w:afterAutospacing="0" w:line="240" w:lineRule="auto"/>
        <w:ind w:left="0" w:leftChars="0" w:right="0" w:rightChars="0" w:firstLine="640" w:firstLineChars="200"/>
        <w:jc w:val="left"/>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本项目复核整编的典型暴雨洪水水位成果，将导入全省“千库联调”系统平台，为平台系统提供统一高程基准下的高精度水位数据，支撑洪水预报模型率定验证、水库调度方案比选、淹没推演与风险画像及调度复盘预案优化。</w:t>
      </w:r>
    </w:p>
    <w:p w14:paraId="571BCBBF">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（三）成果汇总与报告编制</w:t>
      </w:r>
    </w:p>
    <w:p w14:paraId="7C54E9C9">
      <w:r>
        <w:rPr>
          <w:rFonts w:hint="eastAsia" w:ascii="仿宋_GB2312" w:hAnsi="仿宋_GB2312" w:eastAsia="仿宋_GB2312" w:cs="仿宋_GB2312"/>
          <w:sz w:val="32"/>
          <w:szCs w:val="32"/>
          <w:highlight w:val="none"/>
          <w:lang w:val="en-US" w:eastAsia="zh-CN"/>
        </w:rPr>
        <w:t>整合典型洪水灾害防御历史数据收集整理和典型暴雨洪水水位复核成果，编制项目总报告；建立福建省水旱灾害防御历史数据及典型暴雨洪水水位基础台账，实现成果规范化管理，为业务应用提供数据底座；结合防御业务实际需求，提出数据动态更新和后续应用建议。</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EA86BBD"/>
    <w:rsid w:val="5DBD34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Office_12.8.2.19830_F1E327BC-269C-435d-A152-05C5408002CA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2306</dc:creator>
  <cp:lastModifiedBy>admin</cp:lastModifiedBy>
  <dcterms:modified xsi:type="dcterms:W3CDTF">2026-11-06T01:01:02Z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2052-12.8.2.19830</vt:lpwstr>
  </property>
  <property fmtid="{D5CDD505-2E9C-101B-9397-08002B2CF9AE}" pid="3" name="ICV">
    <vt:lpwstr>706FC1A1A13A4BFD9CCF708C70C8E2D0_12</vt:lpwstr>
  </property>
</Properties>
</file>