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-718" w:rightChars="-34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ind w:right="-718" w:rightChars="-34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大中型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水闸工程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/>
        </w:rPr>
        <w:t>标准化管理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评价标准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04"/>
        <w:gridCol w:w="2931"/>
        <w:gridCol w:w="3435"/>
        <w:gridCol w:w="900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标准化基本要求</w:t>
            </w:r>
          </w:p>
        </w:tc>
        <w:tc>
          <w:tcPr>
            <w:tcW w:w="95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水利部评价标准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评价内容及要求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Cs w:val="21"/>
              </w:rPr>
              <w:t>标准分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评价指标及赋分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一  工程状况（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分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1.工程面貌与环境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①工程整体完好。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②工程管理范围整洁有序。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③工程管理范围绿化、水土保持良好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工程整体完好、外观整洁，工程管理范围整洁有序；工程管理范围绿化程度较高，水土保持良好，水质和水生态环境良好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①工程形象面貌较差，扣10分。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②工程管理范围杂乱，存在垃圾杂物堆放问题，扣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③工程管理范围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绿化区域绿化率60%～80%扣2分，低于60%扣5分。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④管理范围存在水土流失现象，水生态环境差，扣5分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2.闸室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①闸室结构（闸墩、底板、边墙等）及两岸连接建筑物安全，无明显倾斜、开裂、不均匀沉降等重大缺陷。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②消能防冲及防渗排水设施运行正常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闸室结构（闸墩、底板、边墙等）及两岸连接建筑物安全，无倾斜、开裂、不均匀沉降等安全缺陷；消能防冲及防渗排水设施完整、运行正常；闸室结构表面无破损、露筋、剥蚀、开裂；闸室无漂浮物，上下游连接段无明显淤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  <w:t>50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①闸室结构（闸墩、底板、边墙等）及两岸连接建筑物不安全，存在明显倾斜、开裂、不均匀沉降等重大缺陷，此项不得分。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消能防冲及防渗排水设施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破损，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影响正常运行，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③混凝土结构破损、露筋、剥蚀等，每处扣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最高扣</w:t>
            </w:r>
            <w:r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分；闸室结构存在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贯穿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裂缝，每处扣5分，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最高扣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④闸室有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漂浮物，扣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分；闸室上下游连接段淤积明显，扣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一  工程状况（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分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3.闸门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①闸门能正常启闭。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②闸门无裂纹，无明显变形、卡阻，止水正常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闸门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启闭顺畅，止水正常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，表面整洁，无裂纹，无明显变形、卡阻、锈蚀，埋件、承载构件、行走支承零部件无缺陷，止水装置密封可靠；吊耳无裂纹或锈损；按规定开展安全检测及设备等级评定；冰冻期间对闸门采取防冰冻措施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①闸门无法正常启闭，此项不得分。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②闸门表面不整洁，扣5分；止水效果差，漏水严重，扣10分。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③门体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变形、锈蚀、卡阻等缺陷，扣10分。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④行走支承有缺陷，扣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分；埋件、承载构件变形，扣5分；吊耳存在裂纹或锈损，扣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⑤未按规定开展闸门安全检测及设备等级评定，扣5分。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⑥冰冻期间未对闸门采取防冰冻措施，扣5分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4.启闭机及机电设备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启闭设施完好，运行正常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②机电设备运行正常，指示准确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启闭设备整洁，启闭机运行顺畅，无锈蚀、漏油、损坏等，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钢丝绳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、螺杆或液压部件等无异常，保护和限位装置有效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；机电设备完好、运行正常，按规定对电气设备、指示仪表、避雷设施、接地等进行定期检验，无安全隐患；线路整齐、牢固、标注清晰；按规定开展安全检测及设备等级评定；备用电源可靠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①启闭设施或机电设备无法正常运行，此项不得分。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启闭机有明显锈蚀扣5分；漏油严重扣5分；无保护或限位装置扣5分；保护或限位装置安装不到位，扣5分；钢丝绳有断丝、缠绕厚度等不满足规范要求，螺杆有弯曲或液压部件存在严重缺陷，扣5分；启闭机房开裂、漏水、环境卫生差等，扣5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③电气设备、指示仪表、避雷设施、接地等未定期检验，扣5分；线路凌乱、松动、标注不清晰，扣5分。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④未按规定开展设施设备安全检测及设备等级评定，扣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⑤备用电源未按有关规定维护，扣5分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5.上下游河道和堤防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①河道无影响运行安全的严重冲刷或淤积。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②两岸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堤防规整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上下游河道无明显淤积或冲刷；两岸堤防完整、完好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①管理范围内上下游河道冲刷或淤积严重，影响运行安全，扣20分；冲刷或淤积明显，尚不影响安全，扣10分。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②两岸堤防存在渗漏、塌陷、开裂等现象，每个缺陷扣5分，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最高扣2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一  工程状况（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50分）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6.管理设施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水情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测报、安全监测设施满足运行管理要求。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防汛道路、通信条件、电力供应满足防汛抢险要求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雨水情测报、安全监测、视频监视、警报设施，防汛道路、通信条件、电力供应、管理用房满足运行管理和防汛抢险要求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雨水情测报、安全监测设施设置不足，扣10分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highlight w:val="none"/>
                <w:shd w:val="clear" w:color="auto" w:fill="FFFFFF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视频监视、警报设施设置不足，稳定性、可靠性存在缺陷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防汛道路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路况差、通信条件不可靠、电力供应不稳定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，扣1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管理用房存在不足，扣5分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标牌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①设置有责任人公示牌。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②设置有安全警示标牌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工程管理区域内设置必要的工程简介牌、责任人公示牌、安全警示等标牌，内容准确清晰，设置合理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①工程简介、保护要求、宣传标识错乱、模糊，扣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责任人公示牌内容不实、损坏模糊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③安全警示标牌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布局不合理、埋设不牢固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二  安全管理（</w:t>
            </w:r>
            <w:r>
              <w:rPr>
                <w:rFonts w:ascii="Times New Roman" w:hAnsi="Times New Roman" w:cs="宋体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0分）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8.注册登记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①按规定完成注册登记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按照《水闸注册登记管理办法》完成注册登记；登记信息完整准确，更新及时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①未按规定注册登记，此项不得分。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注册登记信息不完整、不准确，存在虚假或错误问题等，扣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  <w:highlight w:val="lightGray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③注册登记信息变更不及时，信息与工程实际存在差异，扣10分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工程划界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①工程管理范围完成划定，完成公告并设有界桩。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②工程保护范围和保护要求明确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按照规定划定工程管理范围和保护范围，管理范围设有界桩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（实地桩或电子桩）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和公告牌，保护范围和保护要求明确；管理范围内土地使用权属明确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①未完成工程管理范围划定，此项不得分。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②工程管理范围界桩和公告牌设置不合理、不齐全，扣1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③工程保护范围划定率不足50%扣10分，未划定扣15分。</w:t>
            </w:r>
          </w:p>
          <w:p>
            <w:pPr>
              <w:widowControl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④土地使用证领取率低于60%，每低10%扣2分，最高扣10分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二  安全管理（</w:t>
            </w:r>
            <w:r>
              <w:rPr>
                <w:rFonts w:ascii="Times New Roman" w:hAnsi="Times New Roman" w:cs="宋体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0分）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10.保护管理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①开展水事巡查工作，处置发现问题，做好巡查记录。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②工程管理范围内无违规建设行为，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工程保护范围内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无危害工程运行安全的活动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依法开展工程管理范围和保护范围巡查，发现水事违法行为予以制止，并做好调查取证、及时上报、配合查处工作，工程管理范围内无违规建设行为，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工程保护范围内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无危害工程安全活动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①未有效开展水事巡查工作，巡查不到位、记录不规范，扣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②发现问题未及时有效制止，调查取证、报告投诉、配合查处不力，扣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③工程管理范围内存在违规建设行为或危害工程安全活动，扣10分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工程保护范围内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存在危害工程安全活动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11.安全鉴定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①按规定开展安全鉴定。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②鉴定发现问题落实处理措施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按照《水闸安全鉴定管理办法》及《水闸安全评价导则》开展安全鉴定；鉴定成果用于指导水闸的安全运行管理和除险加固、更新改造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①未在规定期限内开展安全鉴定，此项不得分。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②鉴定承担单位不符合规定，扣20分。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③鉴定成果未用于指导水闸安全运行、更新改造和除险加固等，扣15分。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④末次安全鉴定中存在的问题，整改不到位，有遗留问题未整改，扣15分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12.防汛管理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①有防汛抢险应急预案并演练。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②有必要防汛物资。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③预警、预报信息畅通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防汛组织体系健全；防汛责任制和防汛抢险应急预案落实并演练；按规定开展汛前检查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配备必要的抢险工具、器材设备，明确大宗防汛物资存放方式和调运线路，物资管理资料完备；预警、预报信息畅通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①防汛组织体系不健全，防汛责任制不落实，扣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②无防汛抢险应急预案，扣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分；防汛抢险应急预案编制质量差，可操作性不强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未开展演练，扣5分；防汛抢险队伍组织、人员、任务、培训未落实，扣5分。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③未开展汛前检查，扣5分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④抢险工具、器材配备不完备、大宗防汛物资存放方式或调运线路不明确，扣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分；物资管理资料不完备，扣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</w:rPr>
              <w:t>⑤预警、报汛、调度体系不完善，扣5分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1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二  安全管理（</w:t>
            </w:r>
            <w:r>
              <w:rPr>
                <w:rFonts w:ascii="Times New Roman" w:hAnsi="Times New Roman" w:cs="宋体"/>
                <w:b/>
                <w:bCs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0分）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13.安全生产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①落实安全生产责任制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开展安全生产隐患排查治理，建立台账记录。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编制安全生产应急预案并开展演练。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生产安全事故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安全生产责任制落实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定期开展安全隐患排查治理，排查治理记录规范；开展安全生产宣传和培训，安全设施及器具配备齐全并定期检验，安全警示标识、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危险源辨识牌等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设置规范；编制安全生产应急预案并完成报备，开展演练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及以上生产安全事故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①1年内发生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较大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及以上生产安全事故，此项不得分。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②安全生产责任落实不到位，制度不健全，扣10分。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安全生产隐患排查不及时，隐患整改治理不彻底，台账记录不规范，扣10分。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安全设施及器具不齐全，未定期检验或不能正常使用，安全警示标识、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u w:val="none"/>
              </w:rPr>
              <w:t>危险源辨识牌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设置不规范，扣5分。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安全生产应急预案未编制、未报备，扣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⑥未按要求开展安全生产宣传、培训和演练，扣5分。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3年内发生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及以上生产安全事故，扣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三  运行管护（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14.管理细则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①制订有关技术管理实施细则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结合工程具体情况，及时制订完善水闸技术管理实施细则（如工程巡视检查和安全监测制度、工程调度运用制度、闸门启闭机操作规程、工程维修养护制度等），内容清晰，要求明确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①未制定管理实施细则，此项不得分。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②细则内容不完善，扣10分。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③未及时修订技术管理实施细则，扣10分。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④细则针对性、可操作性不强，扣10分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15.工程巡查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①开展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工程巡查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做好巡查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记录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，发现问题及时处理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按照《水闸技术管理规程》开展日常检查、定期检查和专项检查，巡查路线、频次和内容符合要求，记录规范，发现问题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处理及时到位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①未开展工程巡查，此项不得分。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②巡查不规范，巡查路线、频次和内容不符合规定，扣15分。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③巡查记录不规范、不准确，扣1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④巡查发现问题处理不及时到位，扣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16.安全监测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①开展安全监测。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②做好监测数据记录、整编、分析工作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按照《水闸安全监测技术规范》要求开展安全监测，监测项目、频次符合要求；数据可靠，记录完整，资料整编分析有效；定期开展监测设备校验和比测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未开展安全监测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Style w:val="1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②监测项目、频次、记录等不规范，扣15分。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Style w:val="18"/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③缺测严重，数据可靠性差，整编分析不及时，扣15分。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监测设施</w:t>
            </w: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考证资料缺失或不可靠，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未定期开展监测设备校准，未定期</w:t>
            </w: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对自动化监测项目进行人工比测，扣1</w:t>
            </w:r>
            <w:r>
              <w:rPr>
                <w:rStyle w:val="18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Style w:val="18"/>
                <w:rFonts w:hint="default" w:ascii="仿宋_GB2312" w:hAnsi="仿宋_GB2312" w:eastAsia="仿宋_GB2312" w:cs="仿宋_GB2312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三  运行管护（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17.维修养护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①开展工程维修养护。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②有维修养护记录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按照有关规定开展维修养护，制定维修养护计划，实施过程规范，维修养护到位，工作记录完整；加强项目实施过程管理和验收，项目资料齐全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①未开展维修养护，此项不得分。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②维修养护不及时、不到位，扣15分。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③未制定维修养护计划，实施过程不规范，未按计划完成，扣10分。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④维修养护工作验收标准不明确，过程管理不规范，扣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⑤大修项目无设计、无审批，验收不及时，扣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⑥维修养护记录缺失或混乱，扣5分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18.控制运用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①有按规定批复或备案的水闸控制运用计划或调度方案。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②调度运行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和指令执行到位。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③有调度运用记录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有水闸控制运用计划或调度方案并按规定申请批复或备案；按控制运用计划或上级主管部门的指令组织实施，并做好记录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①无水闸控制运用计划或调度方案，此项不得分。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控制运用计划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调度方案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未按规定报批或备案，扣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控制运用计划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调度方案编制质量差，调度原则、调度权限不清晰，扣5分；修订不及时，调度指标和调度方式变动未履行程序，扣10分。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未按计划或指令实施水闸控制运用，扣1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调度过程记录不完整、不规范等，扣5分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19.操作运行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①有闸门及启闭设备操作规程，并明示。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②操作流程规范，有操作记录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按照规定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编制闸门及启闭设备操作规程，并明示；根据工程实际，编制详细的操作手册，内容应包括闸门启闭机、机电设备等操作流程等；严格按规程和调度指令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操作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运行，操作人员固定，定期培训；无人为事故；操作记录规范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①无闸门及启闭设备操作规程，此项不得分。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操作规程未明示，扣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未按规程进行操作，扣1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分；操作人员不固定，不能定期培训，扣5分。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③有记录不规范，无负责人签字或别人代签，扣5分；操作完成后，未按要求及时反馈操作结果，每发现一次扣1分，最高扣5分。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④未编制详细操作手册，扣5分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四  管理保障（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.管理体制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①管理主体明确，责任落实到人。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②岗位设置和人员满足运行管理需要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管理体制顺畅，权责明晰，责任落实；管养机制健全，岗位设置合理，人员满足工程管理需要；管理单位有职工培训计划并按计划落实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①管理体制不顺畅，扣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②管理机构不健全，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岗位设置与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职责不清晰，扣1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③运行管护机制不健全，未实现管养分离，扣10分。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④未开展业务培训，人员专业技能不足，扣5分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四  管理保障（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.标准化工作手册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①编制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  <w:lang w:val="e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工作手册，满足运行管理需要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按照有关标准及文件要求，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编制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工作手册，细化到管理事项、管理程序和管理岗位，针对性和执行性强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①未编制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"/>
              </w:rPr>
              <w:t>标准化管理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工作手册，此项不得分。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②标准化管理手册编制质量差，不能满足相关标准及文件要求，扣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③标准化管理手册未细化，针对性和可操作性不强，扣5分。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④未按标准化管理手册执行，扣5分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.规章制度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①管理制度满足需要，明示关键制度和规程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建立健全并不断完善各项管理制度，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内容完整，要求明确，按规定明示关键制度和规程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①管理制度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不健全，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②管理制度针对性和操作性不强，落实或执行效果差，扣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③闸门操作等关键制度和规程未明示，扣10分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.经费保障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①工程运行管理经费和维修养护经费满足工程管护需要。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②人员工资足额兑现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管理单位运行管理经费和工程维修养护经费及时足额保障，满足工程管护需要，来源渠道畅通稳定，财务管理规范；人员工资按时足额兑现，福利待遇不低于当地平均水平，按规定落实职工养老、医疗等社会保险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①运行管理、维修养护等费用不能及时足额到位，扣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②运行管理、维修养护等经费使用不规范，扣1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③人员工资不能按时发放，福利待遇低于当地平均水平，扣10分。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④未按规定落实职工养老、医疗等社会保险，扣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.精神文明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①基层党建工作扎实，领导班子团结。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②单位秩序良好，职工爱岗敬业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重视党建工作，注重精神文明和水文化建设，管理单位内部秩序良好，领导班子团结，职工爱岗敬业，文体活动丰富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①领导班子成员受到党纪政纪处分，且在影响期内，此项不得分。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②上级主管部门对单位领导班子的年度考核结果不合格，扣10分。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③单位秩序一般，精神文明和水文化建设不健全，扣10分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四  管理保障</w:t>
            </w:r>
          </w:p>
          <w:p>
            <w:pPr>
              <w:snapToGrid w:val="0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.档案管理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①档案有集中存放场所，档案管理人员落实，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档案设施完好。</w:t>
            </w:r>
          </w:p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②档案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资料规范齐全，存放管理有序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档案管理制度健全，配备档案管理人员；档案设施完好，各类档案分类清楚，存放有序，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管理规范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；档案管理信息化程度高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①档案管理制度不健全，管理不规范，设施不足，扣10分。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②档案管理人员不明确，扣5分。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③档案内容不完整、资料缺失，扣10分。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工程档案信息化程度低，扣5分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69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eastAsia="zh-CN"/>
              </w:rPr>
              <w:t>化建设（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100分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信息化平台建设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①应用工程信息化平台。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信息动态管理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建立工程管理信息化平台，实现工程在线监管和自动化控制；工程信息及时动态更新，与水利部相关平台实现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信息融合共享、上下贯通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未应用工程信息化平台，此项不得分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②未建立工程管理信息化平台，扣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10分。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③未实现在线监管或自动化控制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④工程信息不全面、不准确，或未及时更新，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⑤工程信息未与水利部相关平台信息融合共享，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自动化监测预警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监测监控基本信息录入平台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监测监控出现异常时及时采取措施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雨水情、安全监测、视频监控等关键信息接入信息化平台，实现动态管理；监测监控数据异常时，能够自动识别险情，及时预报预警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雨水情、安全监测、视频监控等关键信息未接入信息化平台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数据异常时，无法自动识别险情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出现险情时，无法及时预警预报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69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28.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网络安全管理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制定并落实网络平台管理制度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网络平台安全管理制度体系健全；网络安全防护措施完善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5218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eastAsia="zh-CN"/>
              </w:rPr>
              <w:t>网络平台安全管理制度体系不健全，扣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网络安全防护措施存在漏洞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，扣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说明：1.本标准中“标准化基本要求”为省级制定标准化评价标准的基本要求，“水利部评价标准”为申报水利部标准化评价的标准。</w:t>
      </w:r>
    </w:p>
    <w:p>
      <w:pPr>
        <w:adjustRightInd w:val="0"/>
        <w:snapToGrid w:val="0"/>
        <w:ind w:left="840" w:leftChars="300" w:right="-541" w:rightChars="-258" w:hanging="210" w:hangingChars="100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2.部级标准化评价，根据标准化评价内容及要求采用千分制考核，总分达到920分（含）以上，且</w:t>
      </w:r>
      <w:r>
        <w:rPr>
          <w:rFonts w:hint="eastAsia" w:ascii="仿宋_GB2312" w:eastAsia="仿宋_GB2312"/>
          <w:kern w:val="0"/>
          <w:szCs w:val="21"/>
          <w:lang w:eastAsia="zh-CN"/>
        </w:rPr>
        <w:t>工程状况、安全管理、运行管护、管理保障四个类别</w:t>
      </w:r>
    </w:p>
    <w:p>
      <w:pPr>
        <w:adjustRightInd w:val="0"/>
        <w:snapToGrid w:val="0"/>
        <w:ind w:left="945" w:leftChars="400" w:right="-541" w:rightChars="-258" w:hanging="105" w:hangingChars="5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评价得分均不低于该类别总分85%的为合格。评价中若出现合理缺项，合理缺项评价得分计算方法为“合理缺项得分=[项目所在类别评价得分/（项目</w:t>
      </w:r>
    </w:p>
    <w:p>
      <w:pPr>
        <w:adjustRightInd w:val="0"/>
        <w:snapToGrid w:val="0"/>
        <w:ind w:left="945" w:leftChars="400" w:right="-541" w:rightChars="-258" w:hanging="105" w:hangingChars="5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所在类别标准分-合理缺项标准分）]×合理缺项标准分”。</w:t>
      </w:r>
    </w:p>
    <w:p>
      <w:pPr>
        <w:adjustRightInd w:val="0"/>
        <w:snapToGrid w:val="0"/>
        <w:ind w:firstLine="630" w:firstLineChars="300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3.表中扣分值为评分要点的最高扣分值，评分时可依据具体情况在该分值范围内酌情扣分。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077" w:bottom="1417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CjMR0ZxwEAAI0DAAAOAAAAZHJzL2Uyb0RvYy54bWytU82O0zAQviPx&#10;DpbvNEkRC0RNV0jVIiQEK+3yAK7jNJb8pxm3SV8A3oATF+48V5+DsZN2YbnsgUsyHk+++b5vJqvr&#10;0Rp2UIDau4ZXi5Iz5aRvtds1/Mv9zYs3nGEUrhXGO9Xwo0J+vX7+bDWEWi19702rgBGIw3oIDe9j&#10;DHVRoOyVFbjwQTm67DxYEekIu6IFMRC6NcWyLK+KwUMbwEuFSNnNdMlnRHgKoO86LdXGy71VLk6o&#10;oIyIJAl7HZCvM9uuUzJ+7jpUkZmGk9KYn9SE4m16FuuVqHcgQq/lTEE8hcIjTVZoR00vUBsRBduD&#10;/gfKagkefRcX0ttiEpIdIRVV+cibu14ElbWQ1RgupuP/g5WfDrfAdEubwJkTlgZ++v7t9OPX6edX&#10;ViV7hoA1Vd2FW5hPSGHSOnZg05tUsDFberxYqsbIJCWr6mpZvuJM0lX18u3rMltePHwcAON75S1L&#10;QcOBJpaNFIePGKkhlZ5LUi/nb7QxeWrG/ZWgwpQpEt+JYYriuB1n2lvfHknrQMNuuKPd5sx8cORl&#10;2otzAOdgew72AfSuJ2pV5oXh3T4SicwtdZhg58Y0pUx53qi0Bn+ec9XDX7T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0Op/RAAAAAwEAAA8AAAAAAAAAAQAgAAAAIgAAAGRycy9kb3ducmV2Lnht&#10;bFBLAQIUABQAAAAIAIdO4kCjMR0ZxwEAAI0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9B6"/>
    <w:rsid w:val="000567EF"/>
    <w:rsid w:val="000734FE"/>
    <w:rsid w:val="000A7BE9"/>
    <w:rsid w:val="000C534C"/>
    <w:rsid w:val="000F23FE"/>
    <w:rsid w:val="00114B13"/>
    <w:rsid w:val="00157B87"/>
    <w:rsid w:val="0017493D"/>
    <w:rsid w:val="001C7519"/>
    <w:rsid w:val="001F061D"/>
    <w:rsid w:val="001F3159"/>
    <w:rsid w:val="00261258"/>
    <w:rsid w:val="00266CCF"/>
    <w:rsid w:val="00271EAC"/>
    <w:rsid w:val="002A1222"/>
    <w:rsid w:val="0030107E"/>
    <w:rsid w:val="00315B18"/>
    <w:rsid w:val="0033146F"/>
    <w:rsid w:val="00360FA6"/>
    <w:rsid w:val="0037392E"/>
    <w:rsid w:val="003762E0"/>
    <w:rsid w:val="003B5B47"/>
    <w:rsid w:val="00402B24"/>
    <w:rsid w:val="004235B0"/>
    <w:rsid w:val="00484F27"/>
    <w:rsid w:val="004D0B3A"/>
    <w:rsid w:val="00500B41"/>
    <w:rsid w:val="005757A9"/>
    <w:rsid w:val="0064446A"/>
    <w:rsid w:val="00645012"/>
    <w:rsid w:val="00731604"/>
    <w:rsid w:val="00744E3D"/>
    <w:rsid w:val="00763ABE"/>
    <w:rsid w:val="007644BD"/>
    <w:rsid w:val="007B0F36"/>
    <w:rsid w:val="007B45AD"/>
    <w:rsid w:val="007C0C46"/>
    <w:rsid w:val="007E2FD9"/>
    <w:rsid w:val="0081425B"/>
    <w:rsid w:val="00840E32"/>
    <w:rsid w:val="0086057E"/>
    <w:rsid w:val="0088787C"/>
    <w:rsid w:val="008B43C4"/>
    <w:rsid w:val="008D269D"/>
    <w:rsid w:val="008D2BDD"/>
    <w:rsid w:val="00901A94"/>
    <w:rsid w:val="009410C7"/>
    <w:rsid w:val="00A263CA"/>
    <w:rsid w:val="00A54511"/>
    <w:rsid w:val="00A57942"/>
    <w:rsid w:val="00A70CE1"/>
    <w:rsid w:val="00A94F1F"/>
    <w:rsid w:val="00AD3322"/>
    <w:rsid w:val="00AE0FCF"/>
    <w:rsid w:val="00AE3170"/>
    <w:rsid w:val="00B07AF1"/>
    <w:rsid w:val="00B11D84"/>
    <w:rsid w:val="00B53A5C"/>
    <w:rsid w:val="00B66328"/>
    <w:rsid w:val="00BD2FFD"/>
    <w:rsid w:val="00BE23BD"/>
    <w:rsid w:val="00C33821"/>
    <w:rsid w:val="00C57448"/>
    <w:rsid w:val="00C73052"/>
    <w:rsid w:val="00CA16ED"/>
    <w:rsid w:val="00CB3870"/>
    <w:rsid w:val="00D2309F"/>
    <w:rsid w:val="00D24A5D"/>
    <w:rsid w:val="00D37176"/>
    <w:rsid w:val="00D450B9"/>
    <w:rsid w:val="00D46EB8"/>
    <w:rsid w:val="00D701BC"/>
    <w:rsid w:val="00DD7286"/>
    <w:rsid w:val="00E05825"/>
    <w:rsid w:val="00E177F8"/>
    <w:rsid w:val="00E252EC"/>
    <w:rsid w:val="00E90395"/>
    <w:rsid w:val="00E909D3"/>
    <w:rsid w:val="00EF324E"/>
    <w:rsid w:val="00F174D3"/>
    <w:rsid w:val="00F96615"/>
    <w:rsid w:val="00FB083B"/>
    <w:rsid w:val="00FE32CA"/>
    <w:rsid w:val="00FF514F"/>
    <w:rsid w:val="052C78AD"/>
    <w:rsid w:val="07087CF1"/>
    <w:rsid w:val="0884047C"/>
    <w:rsid w:val="0B7D2B97"/>
    <w:rsid w:val="0C5051D6"/>
    <w:rsid w:val="10930D0F"/>
    <w:rsid w:val="109C01CF"/>
    <w:rsid w:val="10C97A52"/>
    <w:rsid w:val="11FC1CDD"/>
    <w:rsid w:val="135B06C8"/>
    <w:rsid w:val="15553AD7"/>
    <w:rsid w:val="165779B9"/>
    <w:rsid w:val="17F7CB08"/>
    <w:rsid w:val="185E55A1"/>
    <w:rsid w:val="19002FF7"/>
    <w:rsid w:val="19671721"/>
    <w:rsid w:val="1C8867DF"/>
    <w:rsid w:val="23933BD2"/>
    <w:rsid w:val="26894277"/>
    <w:rsid w:val="29A43F2B"/>
    <w:rsid w:val="2FAF7ABC"/>
    <w:rsid w:val="31C357A8"/>
    <w:rsid w:val="33773474"/>
    <w:rsid w:val="339460F0"/>
    <w:rsid w:val="3616602E"/>
    <w:rsid w:val="36386269"/>
    <w:rsid w:val="380F6BE5"/>
    <w:rsid w:val="38913996"/>
    <w:rsid w:val="3E1C284F"/>
    <w:rsid w:val="3F1F5A9B"/>
    <w:rsid w:val="3FBB1C0D"/>
    <w:rsid w:val="3FDB3787"/>
    <w:rsid w:val="3FFFF87B"/>
    <w:rsid w:val="473F662D"/>
    <w:rsid w:val="49051459"/>
    <w:rsid w:val="49CC0440"/>
    <w:rsid w:val="4D9CEA24"/>
    <w:rsid w:val="50E661B6"/>
    <w:rsid w:val="51054AB2"/>
    <w:rsid w:val="519DFEEC"/>
    <w:rsid w:val="52247AAD"/>
    <w:rsid w:val="55060DAB"/>
    <w:rsid w:val="56492C32"/>
    <w:rsid w:val="577725B3"/>
    <w:rsid w:val="58F079D3"/>
    <w:rsid w:val="59EA24C6"/>
    <w:rsid w:val="5A6EBD67"/>
    <w:rsid w:val="5B7677AA"/>
    <w:rsid w:val="5B7F3CDB"/>
    <w:rsid w:val="5B9146BB"/>
    <w:rsid w:val="5CEF160F"/>
    <w:rsid w:val="5EA74B06"/>
    <w:rsid w:val="60213C99"/>
    <w:rsid w:val="60405318"/>
    <w:rsid w:val="61A924DD"/>
    <w:rsid w:val="61B554E9"/>
    <w:rsid w:val="62597F0B"/>
    <w:rsid w:val="6308687A"/>
    <w:rsid w:val="665976F9"/>
    <w:rsid w:val="67F76326"/>
    <w:rsid w:val="6A045EBD"/>
    <w:rsid w:val="6D9F9601"/>
    <w:rsid w:val="6DDB0764"/>
    <w:rsid w:val="6FF9DEB7"/>
    <w:rsid w:val="738D2CA5"/>
    <w:rsid w:val="73BF4D0B"/>
    <w:rsid w:val="75E21BAC"/>
    <w:rsid w:val="76D77777"/>
    <w:rsid w:val="777E4AE0"/>
    <w:rsid w:val="77A56895"/>
    <w:rsid w:val="78D6103E"/>
    <w:rsid w:val="7B141EAB"/>
    <w:rsid w:val="7B7F6DC5"/>
    <w:rsid w:val="7BFFFCD7"/>
    <w:rsid w:val="7E7F389E"/>
    <w:rsid w:val="7EFB3973"/>
    <w:rsid w:val="7F3FF1B5"/>
    <w:rsid w:val="7F6D647F"/>
    <w:rsid w:val="7F995152"/>
    <w:rsid w:val="7FD62358"/>
    <w:rsid w:val="91F31C7F"/>
    <w:rsid w:val="ADBD5232"/>
    <w:rsid w:val="B5EF6E58"/>
    <w:rsid w:val="BDEFCB47"/>
    <w:rsid w:val="D57FF81C"/>
    <w:rsid w:val="DDAD359A"/>
    <w:rsid w:val="E33B298B"/>
    <w:rsid w:val="E3B7C79F"/>
    <w:rsid w:val="E5EF2686"/>
    <w:rsid w:val="E64FF0BB"/>
    <w:rsid w:val="E6FF8094"/>
    <w:rsid w:val="EB5F2A3E"/>
    <w:rsid w:val="EF45425D"/>
    <w:rsid w:val="EFFB0482"/>
    <w:rsid w:val="F3DBDFF3"/>
    <w:rsid w:val="F77B77C6"/>
    <w:rsid w:val="F77F2BBA"/>
    <w:rsid w:val="FCFFBE1A"/>
    <w:rsid w:val="FE7F43F7"/>
    <w:rsid w:val="FEFFA2C6"/>
    <w:rsid w:val="FFDBBA9F"/>
    <w:rsid w:val="FFF6DAC2"/>
    <w:rsid w:val="FFF9F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4">
    <w:name w:val="annotation text"/>
    <w:basedOn w:val="1"/>
    <w:link w:val="13"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3 字符"/>
    <w:link w:val="3"/>
    <w:uiPriority w:val="0"/>
    <w:rPr>
      <w:rFonts w:ascii="宋体" w:hAnsi="宋体" w:cs="宋体"/>
      <w:b/>
      <w:bCs/>
      <w:sz w:val="27"/>
      <w:szCs w:val="27"/>
    </w:rPr>
  </w:style>
  <w:style w:type="character" w:customStyle="1" w:styleId="13">
    <w:name w:val="批注文字 字符"/>
    <w:link w:val="4"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框文本 字符"/>
    <w:link w:val="5"/>
    <w:uiPriority w:val="0"/>
    <w:rPr>
      <w:sz w:val="18"/>
      <w:szCs w:val="18"/>
    </w:rPr>
  </w:style>
  <w:style w:type="character" w:customStyle="1" w:styleId="15">
    <w:name w:val="页脚 字符"/>
    <w:link w:val="6"/>
    <w:uiPriority w:val="0"/>
    <w:rPr>
      <w:sz w:val="18"/>
      <w:szCs w:val="18"/>
    </w:rPr>
  </w:style>
  <w:style w:type="character" w:customStyle="1" w:styleId="16">
    <w:name w:val="页眉 字符"/>
    <w:link w:val="7"/>
    <w:uiPriority w:val="0"/>
    <w:rPr>
      <w:sz w:val="18"/>
      <w:szCs w:val="18"/>
    </w:rPr>
  </w:style>
  <w:style w:type="character" w:customStyle="1" w:styleId="17">
    <w:name w:val="annotation reference"/>
    <w:uiPriority w:val="0"/>
    <w:rPr>
      <w:sz w:val="21"/>
      <w:szCs w:val="21"/>
    </w:rPr>
  </w:style>
  <w:style w:type="character" w:customStyle="1" w:styleId="18">
    <w:name w:val="font01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9">
    <w:name w:val="批注主题 字符"/>
    <w:link w:val="20"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0">
    <w:name w:val="annotation subject"/>
    <w:basedOn w:val="4"/>
    <w:next w:val="4"/>
    <w:link w:val="19"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1">
    <w:name w:val="_Style 12"/>
    <w:basedOn w:val="1"/>
    <w:uiPriority w:val="0"/>
    <w:rPr>
      <w:szCs w:val="24"/>
    </w:rPr>
  </w:style>
  <w:style w:type="paragraph" w:styleId="22">
    <w:name w:val=""/>
    <w:unhideWhenUsed/>
    <w:uiPriority w:val="99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3">
    <w:name w:val="修订1"/>
    <w:uiPriority w:val="0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6351</Words>
  <Characters>6534</Characters>
  <Lines>54</Lines>
  <Paragraphs>15</Paragraphs>
  <TotalTime>6</TotalTime>
  <ScaleCrop>false</ScaleCrop>
  <LinksUpToDate>false</LinksUpToDate>
  <CharactersWithSpaces>6558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2021-12-03T15:31:00Z</dcterms:created>
  <dc:creator>PC</dc:creator>
  <cp:lastModifiedBy>chenwengjin</cp:lastModifiedBy>
  <cp:lastPrinted>2022-03-26T01:04:45Z</cp:lastPrinted>
  <dcterms:modified xsi:type="dcterms:W3CDTF">2022-04-28T08:04:40Z</dcterms:modified>
  <dc:title>J.Yin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B61F4F944FE5433883D62B94A961A8CD</vt:lpwstr>
  </property>
</Properties>
</file>