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225" w:line="560" w:lineRule="exact"/>
        <w:jc w:val="both"/>
        <w:textAlignment w:val="auto"/>
        <w:rPr>
          <w:rFonts w:hint="eastAsia" w:ascii="黑体" w:hAnsi="黑体" w:eastAsia="黑体" w:cs="黑体"/>
          <w:color w:val="333333"/>
          <w:kern w:val="0"/>
          <w:sz w:val="32"/>
          <w:szCs w:val="32"/>
          <w:lang w:val="en-US" w:eastAsia="zh-CN"/>
        </w:rPr>
      </w:pPr>
      <w:r>
        <w:rPr>
          <w:rFonts w:hint="eastAsia" w:ascii="黑体" w:hAnsi="黑体" w:eastAsia="黑体" w:cs="黑体"/>
          <w:color w:val="333333"/>
          <w:kern w:val="0"/>
          <w:sz w:val="32"/>
          <w:szCs w:val="32"/>
          <w:lang w:val="en-US" w:eastAsia="zh-CN"/>
        </w:rPr>
        <w:t>附件：</w:t>
      </w:r>
    </w:p>
    <w:p>
      <w:pPr>
        <w:keepNext w:val="0"/>
        <w:keepLines w:val="0"/>
        <w:pageBreakBefore w:val="0"/>
        <w:widowControl/>
        <w:shd w:val="clear" w:color="auto" w:fill="FFFFFF"/>
        <w:kinsoku/>
        <w:wordWrap/>
        <w:overflowPunct/>
        <w:topLinePunct w:val="0"/>
        <w:autoSpaceDE/>
        <w:autoSpaceDN/>
        <w:bidi w:val="0"/>
        <w:adjustRightInd/>
        <w:snapToGrid/>
        <w:spacing w:before="225" w:line="560" w:lineRule="exact"/>
        <w:jc w:val="center"/>
        <w:textAlignment w:val="auto"/>
        <w:rPr>
          <w:rFonts w:hint="eastAsia" w:ascii="方正小标宋简体" w:hAnsi="方正小标宋简体" w:eastAsia="方正小标宋简体" w:cs="方正小标宋简体"/>
          <w:color w:val="333333"/>
          <w:kern w:val="0"/>
          <w:sz w:val="44"/>
          <w:szCs w:val="44"/>
        </w:rPr>
      </w:pPr>
      <w:r>
        <w:rPr>
          <w:rFonts w:hint="eastAsia" w:ascii="方正小标宋简体" w:hAnsi="方正小标宋简体" w:eastAsia="方正小标宋简体" w:cs="方正小标宋简体"/>
          <w:color w:val="333333"/>
          <w:kern w:val="0"/>
          <w:sz w:val="44"/>
          <w:szCs w:val="44"/>
          <w:lang w:val="en-US" w:eastAsia="zh-CN"/>
        </w:rPr>
        <w:t>2024-2025年度</w:t>
      </w:r>
      <w:r>
        <w:rPr>
          <w:rFonts w:hint="eastAsia" w:ascii="方正小标宋简体" w:hAnsi="方正小标宋简体" w:eastAsia="方正小标宋简体" w:cs="方正小标宋简体"/>
          <w:color w:val="333333"/>
          <w:kern w:val="0"/>
          <w:sz w:val="44"/>
          <w:szCs w:val="44"/>
        </w:rPr>
        <w:t>省水利厅</w:t>
      </w:r>
    </w:p>
    <w:p>
      <w:pPr>
        <w:keepNext w:val="0"/>
        <w:keepLines w:val="0"/>
        <w:pageBreakBefore w:val="0"/>
        <w:widowControl/>
        <w:shd w:val="clear" w:color="auto" w:fill="FFFFFF"/>
        <w:kinsoku/>
        <w:wordWrap/>
        <w:overflowPunct/>
        <w:topLinePunct w:val="0"/>
        <w:autoSpaceDE/>
        <w:autoSpaceDN/>
        <w:bidi w:val="0"/>
        <w:adjustRightInd/>
        <w:snapToGrid/>
        <w:spacing w:before="225"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color w:val="333333"/>
          <w:kern w:val="0"/>
          <w:sz w:val="44"/>
          <w:szCs w:val="44"/>
        </w:rPr>
        <w:t>省级一体化协同办公平台运维服务</w:t>
      </w:r>
      <w:r>
        <w:rPr>
          <w:rFonts w:hint="eastAsia" w:ascii="方正小标宋简体" w:hAnsi="方正小标宋简体" w:eastAsia="方正小标宋简体" w:cs="方正小标宋简体"/>
          <w:color w:val="333333"/>
          <w:kern w:val="0"/>
          <w:sz w:val="44"/>
          <w:szCs w:val="44"/>
          <w:lang w:eastAsia="zh-CN"/>
        </w:rPr>
        <w:t>要求</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本项目提供</w:t>
      </w:r>
      <w:r>
        <w:rPr>
          <w:rFonts w:hint="eastAsia" w:ascii="仿宋_GB2312" w:hAnsi="仿宋_GB2312" w:eastAsia="仿宋_GB2312" w:cs="仿宋_GB2312"/>
          <w:sz w:val="32"/>
          <w:szCs w:val="32"/>
        </w:rPr>
        <w:t>基于福建省省级一体化协同办公平台</w:t>
      </w:r>
      <w:r>
        <w:rPr>
          <w:rFonts w:hint="eastAsia" w:ascii="仿宋_GB2312" w:hAnsi="仿宋_GB2312" w:eastAsia="仿宋_GB2312" w:cs="仿宋_GB2312"/>
          <w:sz w:val="32"/>
          <w:szCs w:val="32"/>
          <w:lang w:eastAsia="zh-CN"/>
        </w:rPr>
        <w:t>的我</w:t>
      </w:r>
      <w:r>
        <w:rPr>
          <w:rFonts w:hint="eastAsia" w:ascii="仿宋_GB2312" w:hAnsi="仿宋_GB2312" w:eastAsia="仿宋_GB2312" w:cs="仿宋_GB2312"/>
          <w:sz w:val="32"/>
          <w:szCs w:val="32"/>
        </w:rPr>
        <w:t>厅</w:t>
      </w:r>
      <w:r>
        <w:rPr>
          <w:rFonts w:hint="eastAsia" w:ascii="仿宋_GB2312" w:hAnsi="仿宋_GB2312" w:eastAsia="仿宋_GB2312" w:cs="仿宋_GB2312"/>
          <w:sz w:val="32"/>
          <w:szCs w:val="32"/>
          <w:lang w:eastAsia="zh-CN"/>
        </w:rPr>
        <w:t>办公自动化模块日常运维服务和人员驻点服务，确保我厅日常无纸化办公顺利开展。</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225" w:line="560" w:lineRule="exact"/>
        <w:ind w:leftChars="0" w:firstLine="640" w:firstLineChars="200"/>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lang w:eastAsia="zh-CN"/>
        </w:rPr>
        <w:t>一、</w:t>
      </w:r>
      <w:r>
        <w:rPr>
          <w:rFonts w:hint="eastAsia" w:ascii="黑体" w:hAnsi="黑体" w:eastAsia="黑体" w:cs="黑体"/>
          <w:color w:val="333333"/>
          <w:sz w:val="32"/>
          <w:szCs w:val="32"/>
          <w:shd w:val="clear" w:color="auto" w:fill="FFFFFF"/>
        </w:rPr>
        <w:t>运维服务内容</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225" w:line="560" w:lineRule="exact"/>
        <w:ind w:leftChars="0" w:firstLine="643" w:firstLineChars="200"/>
        <w:textAlignment w:val="auto"/>
        <w:rPr>
          <w:rFonts w:hint="eastAsia" w:ascii="黑体" w:hAnsi="黑体" w:eastAsia="黑体" w:cs="黑体"/>
          <w:color w:val="333333"/>
          <w:sz w:val="32"/>
          <w:szCs w:val="32"/>
          <w:shd w:val="clear" w:color="auto" w:fill="FFFFFF"/>
        </w:rPr>
      </w:pPr>
      <w:r>
        <w:rPr>
          <w:rFonts w:hint="eastAsia" w:ascii="楷体_GB2312" w:hAnsi="楷体_GB2312" w:eastAsia="楷体_GB2312" w:cs="楷体_GB2312"/>
          <w:b/>
          <w:bCs/>
          <w:color w:val="333333"/>
          <w:kern w:val="0"/>
          <w:sz w:val="32"/>
          <w:szCs w:val="32"/>
          <w:lang w:eastAsia="zh-CN"/>
        </w:rPr>
        <w:t>（</w:t>
      </w:r>
      <w:r>
        <w:rPr>
          <w:rFonts w:hint="eastAsia" w:ascii="楷体_GB2312" w:hAnsi="楷体_GB2312" w:eastAsia="楷体_GB2312" w:cs="楷体_GB2312"/>
          <w:b/>
          <w:bCs/>
          <w:color w:val="333333"/>
          <w:kern w:val="0"/>
          <w:sz w:val="32"/>
          <w:szCs w:val="32"/>
          <w:lang w:val="en-US" w:eastAsia="zh-CN"/>
        </w:rPr>
        <w:t>一</w:t>
      </w:r>
      <w:r>
        <w:rPr>
          <w:rFonts w:hint="eastAsia" w:ascii="楷体_GB2312" w:hAnsi="楷体_GB2312" w:eastAsia="楷体_GB2312" w:cs="楷体_GB2312"/>
          <w:b/>
          <w:bCs/>
          <w:color w:val="333333"/>
          <w:kern w:val="0"/>
          <w:sz w:val="32"/>
          <w:szCs w:val="32"/>
          <w:lang w:eastAsia="zh-CN"/>
        </w:rPr>
        <w:t>）二线支持</w:t>
      </w:r>
      <w:r>
        <w:rPr>
          <w:rFonts w:hint="eastAsia" w:ascii="楷体_GB2312" w:hAnsi="楷体_GB2312" w:eastAsia="楷体_GB2312" w:cs="楷体_GB2312"/>
          <w:b/>
          <w:bCs/>
          <w:color w:val="333333"/>
          <w:kern w:val="0"/>
          <w:sz w:val="32"/>
          <w:szCs w:val="32"/>
        </w:rPr>
        <w:t>服务</w:t>
      </w:r>
    </w:p>
    <w:tbl>
      <w:tblPr>
        <w:tblStyle w:val="8"/>
        <w:tblW w:w="820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1701"/>
        <w:gridCol w:w="552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78" w:type="dxa"/>
            <w:shd w:val="clear" w:color="auto" w:fill="D8D8D8"/>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序号</w:t>
            </w:r>
          </w:p>
        </w:tc>
        <w:tc>
          <w:tcPr>
            <w:tcW w:w="1701" w:type="dxa"/>
            <w:shd w:val="clear" w:color="auto" w:fill="D8D8D8"/>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服务项</w:t>
            </w:r>
          </w:p>
        </w:tc>
        <w:tc>
          <w:tcPr>
            <w:tcW w:w="5528" w:type="dxa"/>
            <w:shd w:val="clear" w:color="auto" w:fill="D8D8D8"/>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服务内容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78" w:type="dxa"/>
            <w:vAlign w:val="center"/>
          </w:tcPr>
          <w:p>
            <w:pPr>
              <w:pStyle w:val="7"/>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Chars="0"/>
              <w:jc w:val="center"/>
              <w:textAlignment w:val="auto"/>
              <w:rPr>
                <w:rFonts w:hint="eastAsia" w:ascii="仿宋_GB2312" w:hAnsi="仿宋_GB2312" w:eastAsia="仿宋_GB2312" w:cs="仿宋_GB2312"/>
                <w:kern w:val="0"/>
                <w:sz w:val="28"/>
                <w:szCs w:val="28"/>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日常巡检</w:t>
            </w:r>
          </w:p>
        </w:tc>
        <w:tc>
          <w:tcPr>
            <w:tcW w:w="552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关键服务巡检：云文档服务、签章服务、短信服务、网关服务等关键服务进行可用性、响应速度、稳定性等方面的巡检。</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核心系统功能巡检：对服务内的重要业务功能进行巡检，验证其可用性。</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涉及到的服务器巡检：对本服务涉及到的服务器的CPU、内存、硬盘等使用情况进行日常巡检。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78" w:type="dxa"/>
            <w:vAlign w:val="center"/>
          </w:tcPr>
          <w:p>
            <w:pPr>
              <w:pStyle w:val="7"/>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Chars="0"/>
              <w:jc w:val="center"/>
              <w:textAlignment w:val="auto"/>
              <w:rPr>
                <w:rFonts w:hint="eastAsia" w:ascii="仿宋_GB2312" w:hAnsi="仿宋_GB2312" w:eastAsia="仿宋_GB2312" w:cs="仿宋_GB2312"/>
                <w:kern w:val="0"/>
                <w:sz w:val="28"/>
                <w:szCs w:val="28"/>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需求变更</w:t>
            </w:r>
          </w:p>
        </w:tc>
        <w:tc>
          <w:tcPr>
            <w:tcW w:w="552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接收标准服务内的需求变更工单处理。接收到用户标准服务内的需求变更申请后，在24小时内响应，并给予处理反馈意见及处理办法。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78" w:type="dxa"/>
            <w:vAlign w:val="center"/>
          </w:tcPr>
          <w:p>
            <w:pPr>
              <w:pStyle w:val="7"/>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Chars="0"/>
              <w:jc w:val="center"/>
              <w:textAlignment w:val="auto"/>
              <w:rPr>
                <w:rFonts w:hint="eastAsia" w:ascii="仿宋_GB2312" w:hAnsi="仿宋_GB2312" w:eastAsia="仿宋_GB2312" w:cs="仿宋_GB2312"/>
                <w:kern w:val="0"/>
                <w:sz w:val="28"/>
                <w:szCs w:val="28"/>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技术支持</w:t>
            </w:r>
          </w:p>
        </w:tc>
        <w:tc>
          <w:tcPr>
            <w:tcW w:w="552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对服务内遇到的技术问题提供24小时技术支持，包括电话技术支持、远程技术支持，若以上方式无法解决时，提供现场技术支持。支持内容包括平台运行基础环境、平台软件系统本身的操作及系统配置、协助系统接入、扩容、安全部署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78" w:type="dxa"/>
            <w:vAlign w:val="center"/>
          </w:tcPr>
          <w:p>
            <w:pPr>
              <w:pStyle w:val="7"/>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Chars="0"/>
              <w:jc w:val="center"/>
              <w:textAlignment w:val="auto"/>
              <w:rPr>
                <w:rFonts w:hint="eastAsia" w:ascii="仿宋_GB2312" w:hAnsi="仿宋_GB2312" w:eastAsia="仿宋_GB2312" w:cs="仿宋_GB2312"/>
                <w:kern w:val="0"/>
                <w:sz w:val="28"/>
                <w:szCs w:val="28"/>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系统升级</w:t>
            </w:r>
          </w:p>
        </w:tc>
        <w:tc>
          <w:tcPr>
            <w:tcW w:w="552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云协同提供系统功能的持续升级，并根据三级等保的要求，持续升级系统安全防护措施。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78" w:type="dxa"/>
            <w:vAlign w:val="center"/>
          </w:tcPr>
          <w:p>
            <w:pPr>
              <w:pStyle w:val="7"/>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Chars="0"/>
              <w:jc w:val="center"/>
              <w:textAlignment w:val="auto"/>
              <w:rPr>
                <w:rFonts w:hint="eastAsia" w:ascii="仿宋_GB2312" w:hAnsi="仿宋_GB2312" w:eastAsia="仿宋_GB2312" w:cs="仿宋_GB2312"/>
                <w:kern w:val="0"/>
                <w:sz w:val="28"/>
                <w:szCs w:val="28"/>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故障处理</w:t>
            </w:r>
          </w:p>
        </w:tc>
        <w:tc>
          <w:tcPr>
            <w:tcW w:w="552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遇到故障第一时间</w:t>
            </w:r>
            <w:r>
              <w:rPr>
                <w:rFonts w:hint="eastAsia" w:ascii="仿宋_GB2312" w:hAnsi="仿宋_GB2312" w:eastAsia="仿宋_GB2312" w:cs="仿宋_GB2312"/>
                <w:kern w:val="0"/>
                <w:sz w:val="28"/>
                <w:szCs w:val="28"/>
                <w:lang w:eastAsia="zh-CN"/>
              </w:rPr>
              <w:t>进行</w:t>
            </w:r>
            <w:r>
              <w:rPr>
                <w:rFonts w:hint="eastAsia" w:ascii="仿宋_GB2312" w:hAnsi="仿宋_GB2312" w:eastAsia="仿宋_GB2312" w:cs="仿宋_GB2312"/>
                <w:kern w:val="0"/>
                <w:sz w:val="28"/>
                <w:szCs w:val="28"/>
              </w:rPr>
              <w:t>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78" w:type="dxa"/>
            <w:vAlign w:val="center"/>
          </w:tcPr>
          <w:p>
            <w:pPr>
              <w:pStyle w:val="7"/>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Chars="0"/>
              <w:jc w:val="center"/>
              <w:textAlignment w:val="auto"/>
              <w:rPr>
                <w:rFonts w:hint="eastAsia" w:ascii="仿宋_GB2312" w:hAnsi="仿宋_GB2312" w:eastAsia="仿宋_GB2312" w:cs="仿宋_GB2312"/>
                <w:kern w:val="0"/>
                <w:sz w:val="28"/>
                <w:szCs w:val="28"/>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个性化功能</w:t>
            </w:r>
            <w:r>
              <w:rPr>
                <w:rFonts w:hint="eastAsia" w:ascii="仿宋_GB2312" w:hAnsi="仿宋_GB2312" w:eastAsia="仿宋_GB2312" w:cs="仿宋_GB2312"/>
                <w:kern w:val="0"/>
                <w:sz w:val="28"/>
                <w:szCs w:val="28"/>
                <w:lang w:eastAsia="zh-CN"/>
              </w:rPr>
              <w:t>定制优化和</w:t>
            </w:r>
            <w:r>
              <w:rPr>
                <w:rFonts w:hint="eastAsia" w:ascii="仿宋_GB2312" w:hAnsi="仿宋_GB2312" w:eastAsia="仿宋_GB2312" w:cs="仿宋_GB2312"/>
                <w:kern w:val="0"/>
                <w:sz w:val="28"/>
                <w:szCs w:val="28"/>
              </w:rPr>
              <w:t>运维服务</w:t>
            </w:r>
          </w:p>
        </w:tc>
        <w:tc>
          <w:tcPr>
            <w:tcW w:w="552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系统使用过程中，</w:t>
            </w:r>
            <w:r>
              <w:rPr>
                <w:rFonts w:hint="eastAsia" w:ascii="仿宋_GB2312" w:hAnsi="仿宋_GB2312" w:eastAsia="仿宋_GB2312" w:cs="仿宋_GB2312"/>
                <w:kern w:val="0"/>
                <w:sz w:val="28"/>
                <w:szCs w:val="28"/>
                <w:lang w:val="en-US" w:eastAsia="zh-CN"/>
              </w:rPr>
              <w:t>根据业主要求</w:t>
            </w:r>
            <w:r>
              <w:rPr>
                <w:rFonts w:hint="eastAsia" w:ascii="仿宋_GB2312" w:hAnsi="仿宋_GB2312" w:eastAsia="仿宋_GB2312" w:cs="仿宋_GB2312"/>
                <w:kern w:val="0"/>
                <w:sz w:val="28"/>
                <w:szCs w:val="28"/>
              </w:rPr>
              <w:t>基于</w:t>
            </w:r>
            <w:r>
              <w:rPr>
                <w:rFonts w:hint="eastAsia" w:ascii="仿宋_GB2312" w:hAnsi="仿宋_GB2312" w:eastAsia="仿宋_GB2312" w:cs="仿宋_GB2312"/>
                <w:kern w:val="0"/>
                <w:sz w:val="28"/>
                <w:szCs w:val="28"/>
                <w:lang w:val="en-US" w:eastAsia="zh-CN"/>
              </w:rPr>
              <w:t>省协同办公平台</w:t>
            </w:r>
            <w:r>
              <w:rPr>
                <w:rFonts w:hint="eastAsia" w:ascii="仿宋_GB2312" w:hAnsi="仿宋_GB2312" w:eastAsia="仿宋_GB2312" w:cs="仿宋_GB2312"/>
                <w:kern w:val="0"/>
                <w:sz w:val="28"/>
                <w:szCs w:val="28"/>
              </w:rPr>
              <w:t>，提供简易个性化</w:t>
            </w:r>
            <w:r>
              <w:rPr>
                <w:rFonts w:hint="eastAsia" w:ascii="仿宋_GB2312" w:hAnsi="仿宋_GB2312" w:eastAsia="仿宋_GB2312" w:cs="仿宋_GB2312"/>
                <w:kern w:val="0"/>
                <w:sz w:val="28"/>
                <w:szCs w:val="28"/>
                <w:lang w:val="en-US" w:eastAsia="zh-CN"/>
              </w:rPr>
              <w:t>功能</w:t>
            </w:r>
            <w:r>
              <w:rPr>
                <w:rFonts w:hint="eastAsia" w:ascii="仿宋_GB2312" w:hAnsi="仿宋_GB2312" w:eastAsia="仿宋_GB2312" w:cs="仿宋_GB2312"/>
                <w:kern w:val="0"/>
                <w:sz w:val="28"/>
                <w:szCs w:val="28"/>
              </w:rPr>
              <w:t>扩展</w:t>
            </w:r>
            <w:r>
              <w:rPr>
                <w:rFonts w:hint="eastAsia" w:ascii="仿宋_GB2312" w:hAnsi="仿宋_GB2312" w:eastAsia="仿宋_GB2312" w:cs="仿宋_GB2312"/>
                <w:kern w:val="0"/>
                <w:sz w:val="28"/>
                <w:szCs w:val="28"/>
                <w:lang w:val="en-US" w:eastAsia="zh-CN"/>
              </w:rPr>
              <w:t>定制或优化</w:t>
            </w:r>
            <w:r>
              <w:rPr>
                <w:rFonts w:hint="eastAsia" w:ascii="仿宋_GB2312" w:hAnsi="仿宋_GB2312" w:eastAsia="仿宋_GB2312" w:cs="仿宋_GB2312"/>
                <w:kern w:val="0"/>
                <w:sz w:val="28"/>
                <w:szCs w:val="28"/>
              </w:rPr>
              <w:t>服务，</w:t>
            </w:r>
            <w:r>
              <w:rPr>
                <w:rFonts w:hint="eastAsia" w:ascii="仿宋_GB2312" w:hAnsi="仿宋_GB2312" w:eastAsia="仿宋_GB2312" w:cs="仿宋_GB2312"/>
                <w:kern w:val="0"/>
                <w:sz w:val="28"/>
                <w:szCs w:val="28"/>
                <w:lang w:val="en-US" w:eastAsia="zh-CN"/>
              </w:rPr>
              <w:t>并开展日常运维。</w:t>
            </w:r>
          </w:p>
        </w:tc>
      </w:tr>
    </w:tbl>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225" w:line="560" w:lineRule="exact"/>
        <w:ind w:leftChars="0" w:firstLine="643" w:firstLineChars="200"/>
        <w:textAlignment w:val="auto"/>
        <w:rPr>
          <w:rFonts w:hint="eastAsia" w:ascii="楷体_GB2312" w:hAnsi="楷体_GB2312" w:eastAsia="楷体_GB2312" w:cs="楷体_GB2312"/>
          <w:b/>
          <w:bCs/>
          <w:color w:val="333333"/>
          <w:kern w:val="0"/>
          <w:sz w:val="32"/>
          <w:szCs w:val="32"/>
        </w:rPr>
      </w:pPr>
      <w:r>
        <w:rPr>
          <w:rFonts w:hint="eastAsia" w:ascii="楷体_GB2312" w:hAnsi="楷体_GB2312" w:eastAsia="楷体_GB2312" w:cs="楷体_GB2312"/>
          <w:b/>
          <w:bCs/>
          <w:color w:val="333333"/>
          <w:kern w:val="0"/>
          <w:sz w:val="32"/>
          <w:szCs w:val="32"/>
          <w:lang w:eastAsia="zh-CN"/>
        </w:rPr>
        <w:t>（</w:t>
      </w:r>
      <w:r>
        <w:rPr>
          <w:rFonts w:hint="eastAsia" w:ascii="楷体_GB2312" w:hAnsi="楷体_GB2312" w:eastAsia="楷体_GB2312" w:cs="楷体_GB2312"/>
          <w:b/>
          <w:bCs/>
          <w:color w:val="333333"/>
          <w:kern w:val="0"/>
          <w:sz w:val="32"/>
          <w:szCs w:val="32"/>
          <w:lang w:val="en-US" w:eastAsia="zh-CN"/>
        </w:rPr>
        <w:t>二</w:t>
      </w:r>
      <w:r>
        <w:rPr>
          <w:rFonts w:hint="eastAsia" w:ascii="楷体_GB2312" w:hAnsi="楷体_GB2312" w:eastAsia="楷体_GB2312" w:cs="楷体_GB2312"/>
          <w:b/>
          <w:bCs/>
          <w:color w:val="333333"/>
          <w:kern w:val="0"/>
          <w:sz w:val="32"/>
          <w:szCs w:val="32"/>
          <w:lang w:eastAsia="zh-CN"/>
        </w:rPr>
        <w:t>）</w:t>
      </w:r>
      <w:r>
        <w:rPr>
          <w:rFonts w:hint="eastAsia" w:ascii="楷体_GB2312" w:hAnsi="楷体_GB2312" w:eastAsia="楷体_GB2312" w:cs="楷体_GB2312"/>
          <w:b/>
          <w:bCs/>
          <w:color w:val="333333"/>
          <w:kern w:val="0"/>
          <w:sz w:val="32"/>
          <w:szCs w:val="32"/>
        </w:rPr>
        <w:t>驻点服务</w:t>
      </w:r>
    </w:p>
    <w:p>
      <w:pPr>
        <w:keepNext w:val="0"/>
        <w:keepLines w:val="0"/>
        <w:pageBreakBefore w:val="0"/>
        <w:widowControl/>
        <w:shd w:val="clear" w:color="auto" w:fill="FFFFFF"/>
        <w:kinsoku/>
        <w:wordWrap/>
        <w:overflowPunct/>
        <w:topLinePunct w:val="0"/>
        <w:autoSpaceDE/>
        <w:autoSpaceDN/>
        <w:bidi w:val="0"/>
        <w:adjustRightInd/>
        <w:snapToGrid/>
        <w:spacing w:before="225" w:line="560" w:lineRule="exact"/>
        <w:ind w:firstLine="640"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提供现场驻点运维服务，包括配备1名专业技术人员，提供5*8小时驻点运维保障，并提供7*24小时远程技术支撑服务。驻点服务内容如下：</w:t>
      </w:r>
    </w:p>
    <w:p>
      <w:pPr>
        <w:keepNext w:val="0"/>
        <w:keepLines w:val="0"/>
        <w:pageBreakBefore w:val="0"/>
        <w:widowControl/>
        <w:shd w:val="clear" w:color="auto" w:fill="FFFFFF"/>
        <w:kinsoku/>
        <w:wordWrap/>
        <w:overflowPunct/>
        <w:topLinePunct w:val="0"/>
        <w:autoSpaceDE/>
        <w:autoSpaceDN/>
        <w:bidi w:val="0"/>
        <w:adjustRightInd/>
        <w:snapToGrid/>
        <w:spacing w:before="225" w:line="560" w:lineRule="exact"/>
        <w:ind w:firstLine="643" w:firstLineChars="200"/>
        <w:textAlignment w:val="auto"/>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1.</w:t>
      </w:r>
      <w:bookmarkStart w:id="0" w:name="_Toc110445336"/>
      <w:r>
        <w:rPr>
          <w:rFonts w:hint="eastAsia" w:ascii="仿宋_GB2312" w:hAnsi="仿宋_GB2312" w:eastAsia="仿宋_GB2312" w:cs="仿宋_GB2312"/>
          <w:b/>
          <w:bCs/>
          <w:color w:val="333333"/>
          <w:kern w:val="0"/>
          <w:sz w:val="32"/>
          <w:szCs w:val="32"/>
        </w:rPr>
        <w:t>日常使用培训</w:t>
      </w:r>
      <w:bookmarkEnd w:id="0"/>
    </w:p>
    <w:p>
      <w:pPr>
        <w:keepNext w:val="0"/>
        <w:keepLines w:val="0"/>
        <w:pageBreakBefore w:val="0"/>
        <w:widowControl/>
        <w:shd w:val="clear" w:color="auto" w:fill="FFFFFF"/>
        <w:kinsoku/>
        <w:wordWrap/>
        <w:overflowPunct/>
        <w:topLinePunct w:val="0"/>
        <w:autoSpaceDE/>
        <w:autoSpaceDN/>
        <w:bidi w:val="0"/>
        <w:adjustRightInd/>
        <w:snapToGrid/>
        <w:spacing w:before="225" w:line="560" w:lineRule="exact"/>
        <w:ind w:firstLine="640"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sz w:val="32"/>
          <w:szCs w:val="32"/>
        </w:rPr>
        <w:t>对服务范围内的功能模块进行集中培训，培训时间与培训内容根据实际情况而定。</w:t>
      </w:r>
      <w:r>
        <w:rPr>
          <w:rFonts w:hint="eastAsia" w:ascii="仿宋_GB2312" w:hAnsi="仿宋_GB2312" w:eastAsia="仿宋_GB2312" w:cs="仿宋_GB2312"/>
          <w:color w:val="333333"/>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225" w:line="560" w:lineRule="exact"/>
        <w:ind w:firstLine="643" w:firstLineChars="200"/>
        <w:textAlignment w:val="auto"/>
        <w:rPr>
          <w:rFonts w:hint="eastAsia" w:ascii="仿宋_GB2312" w:hAnsi="仿宋_GB2312" w:eastAsia="仿宋_GB2312" w:cs="仿宋_GB2312"/>
          <w:b/>
          <w:bCs/>
          <w:color w:val="333333"/>
          <w:kern w:val="0"/>
          <w:sz w:val="32"/>
          <w:szCs w:val="32"/>
        </w:rPr>
      </w:pPr>
      <w:bookmarkStart w:id="1" w:name="_Toc110445337"/>
      <w:r>
        <w:rPr>
          <w:rFonts w:hint="eastAsia" w:ascii="仿宋_GB2312" w:hAnsi="仿宋_GB2312" w:eastAsia="仿宋_GB2312" w:cs="仿宋_GB2312"/>
          <w:b/>
          <w:bCs/>
          <w:color w:val="333333"/>
          <w:kern w:val="0"/>
          <w:sz w:val="32"/>
          <w:szCs w:val="32"/>
        </w:rPr>
        <w:t>2.</w:t>
      </w:r>
      <w:bookmarkEnd w:id="1"/>
      <w:r>
        <w:rPr>
          <w:rFonts w:hint="eastAsia" w:ascii="仿宋_GB2312" w:hAnsi="仿宋_GB2312" w:eastAsia="仿宋_GB2312" w:cs="仿宋_GB2312"/>
          <w:b/>
          <w:bCs/>
          <w:color w:val="333333"/>
          <w:kern w:val="0"/>
          <w:sz w:val="32"/>
          <w:szCs w:val="32"/>
        </w:rPr>
        <w:t>故障收集</w:t>
      </w:r>
    </w:p>
    <w:p>
      <w:pPr>
        <w:keepNext w:val="0"/>
        <w:keepLines w:val="0"/>
        <w:pageBreakBefore w:val="0"/>
        <w:widowControl/>
        <w:shd w:val="clear" w:color="auto" w:fill="FFFFFF"/>
        <w:kinsoku/>
        <w:wordWrap/>
        <w:overflowPunct/>
        <w:topLinePunct w:val="0"/>
        <w:autoSpaceDE/>
        <w:autoSpaceDN/>
        <w:bidi w:val="0"/>
        <w:adjustRightInd/>
        <w:snapToGrid/>
        <w:spacing w:before="225" w:line="560" w:lineRule="exact"/>
        <w:ind w:firstLine="640"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在故障响应时间内检查反映的问题，第一时间接入处理并按时维护，保证平台正常运行，用户正常使用，并且记录问题原因和处理过程。</w:t>
      </w:r>
    </w:p>
    <w:p>
      <w:pPr>
        <w:keepNext w:val="0"/>
        <w:keepLines w:val="0"/>
        <w:pageBreakBefore w:val="0"/>
        <w:widowControl/>
        <w:shd w:val="clear" w:color="auto" w:fill="FFFFFF"/>
        <w:kinsoku/>
        <w:wordWrap/>
        <w:overflowPunct/>
        <w:topLinePunct w:val="0"/>
        <w:autoSpaceDE/>
        <w:autoSpaceDN/>
        <w:bidi w:val="0"/>
        <w:adjustRightInd/>
        <w:snapToGrid/>
        <w:spacing w:before="225" w:line="560" w:lineRule="exact"/>
        <w:ind w:firstLine="640"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对系统平台的运行情况进行分析，及时发现并排除故障，每</w:t>
      </w:r>
      <w:r>
        <w:rPr>
          <w:rFonts w:hint="eastAsia" w:ascii="仿宋_GB2312" w:hAnsi="仿宋_GB2312" w:eastAsia="仿宋_GB2312" w:cs="仿宋_GB2312"/>
          <w:color w:val="333333"/>
          <w:kern w:val="0"/>
          <w:sz w:val="32"/>
          <w:szCs w:val="32"/>
          <w:lang w:val="en-US" w:eastAsia="zh-CN"/>
        </w:rPr>
        <w:t>月</w:t>
      </w:r>
      <w:r>
        <w:rPr>
          <w:rFonts w:hint="eastAsia" w:ascii="仿宋_GB2312" w:hAnsi="仿宋_GB2312" w:eastAsia="仿宋_GB2312" w:cs="仿宋_GB2312"/>
          <w:color w:val="333333"/>
          <w:kern w:val="0"/>
          <w:sz w:val="32"/>
          <w:szCs w:val="32"/>
        </w:rPr>
        <w:t>提交一份系统维护记录，根据系统经常出现的情况或者有可能出现的情况及时提出日常维护和日常使用建议。</w:t>
      </w:r>
    </w:p>
    <w:p>
      <w:pPr>
        <w:keepNext w:val="0"/>
        <w:keepLines w:val="0"/>
        <w:pageBreakBefore w:val="0"/>
        <w:widowControl/>
        <w:shd w:val="clear" w:color="auto" w:fill="FFFFFF"/>
        <w:kinsoku/>
        <w:wordWrap/>
        <w:overflowPunct/>
        <w:topLinePunct w:val="0"/>
        <w:autoSpaceDE/>
        <w:autoSpaceDN/>
        <w:bidi w:val="0"/>
        <w:adjustRightInd/>
        <w:snapToGrid/>
        <w:spacing w:before="225" w:line="560" w:lineRule="exact"/>
        <w:ind w:firstLine="643" w:firstLineChars="200"/>
        <w:textAlignment w:val="auto"/>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3.故障处理</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lang w:val="en-US" w:eastAsia="zh-CN"/>
        </w:rPr>
        <w:t>1</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rPr>
        <w:t>系统运行、升级期间出现故障现场进行处理、解决；</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lang w:val="en-US" w:eastAsia="zh-CN"/>
        </w:rPr>
        <w:t>2</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rPr>
        <w:t>在系统出现非停机性质的故障如系统运行缓慢时，视同系统故障；</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lang w:val="en-US" w:eastAsia="zh-CN"/>
        </w:rPr>
        <w:t>3</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rPr>
        <w:t>在系统故障原因不明时，由现场进行故障诊断；</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28"/>
          <w:lang w:eastAsia="zh-CN"/>
        </w:rPr>
      </w:pP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lang w:val="en-US" w:eastAsia="zh-CN"/>
        </w:rPr>
        <w:t>4</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rPr>
        <w:t>对系统故障提出故障处理建议，经用户方同意后，进行排除、系统调优、重置等</w:t>
      </w:r>
      <w:r>
        <w:rPr>
          <w:rFonts w:hint="eastAsia" w:ascii="仿宋_GB2312" w:hAnsi="仿宋_GB2312" w:eastAsia="仿宋_GB2312" w:cs="仿宋_GB2312"/>
          <w:sz w:val="32"/>
          <w:szCs w:val="28"/>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225" w:line="560" w:lineRule="exact"/>
        <w:ind w:firstLine="643" w:firstLineChars="200"/>
        <w:textAlignment w:val="auto"/>
        <w:rPr>
          <w:rFonts w:hint="eastAsia" w:ascii="仿宋_GB2312" w:hAnsi="仿宋_GB2312" w:eastAsia="仿宋_GB2312" w:cs="仿宋_GB2312"/>
          <w:b/>
          <w:bCs/>
          <w:color w:val="333333"/>
          <w:kern w:val="0"/>
          <w:sz w:val="32"/>
          <w:szCs w:val="32"/>
        </w:rPr>
      </w:pPr>
      <w:bookmarkStart w:id="2" w:name="_Toc110445338"/>
      <w:r>
        <w:rPr>
          <w:rFonts w:hint="eastAsia" w:ascii="仿宋_GB2312" w:hAnsi="仿宋_GB2312" w:eastAsia="仿宋_GB2312" w:cs="仿宋_GB2312"/>
          <w:b/>
          <w:bCs/>
          <w:color w:val="333333"/>
          <w:kern w:val="0"/>
          <w:sz w:val="32"/>
          <w:szCs w:val="32"/>
        </w:rPr>
        <w:t>4.</w:t>
      </w:r>
      <w:bookmarkEnd w:id="2"/>
      <w:bookmarkStart w:id="3" w:name="_Toc68037790"/>
      <w:bookmarkStart w:id="4" w:name="_Toc110445341"/>
      <w:r>
        <w:rPr>
          <w:rFonts w:hint="eastAsia" w:ascii="仿宋_GB2312" w:hAnsi="仿宋_GB2312" w:eastAsia="仿宋_GB2312" w:cs="仿宋_GB2312"/>
          <w:b/>
          <w:bCs/>
          <w:color w:val="333333"/>
          <w:kern w:val="0"/>
          <w:sz w:val="32"/>
          <w:szCs w:val="32"/>
        </w:rPr>
        <w:t>现场咨询服务</w:t>
      </w:r>
      <w:bookmarkEnd w:id="3"/>
    </w:p>
    <w:p>
      <w:pPr>
        <w:keepNext w:val="0"/>
        <w:keepLines w:val="0"/>
        <w:pageBreakBefore w:val="0"/>
        <w:widowControl/>
        <w:shd w:val="clear" w:color="auto" w:fill="FFFFFF"/>
        <w:kinsoku/>
        <w:wordWrap/>
        <w:overflowPunct/>
        <w:topLinePunct w:val="0"/>
        <w:autoSpaceDE/>
        <w:autoSpaceDN/>
        <w:bidi w:val="0"/>
        <w:adjustRightInd/>
        <w:snapToGrid/>
        <w:spacing w:before="225"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长期免费的咨询服务，咨询的内容包括系统使用，标准规范咨询，开发技术咨询等。对用户在系统使用过程中遇到的操作性、业务性、维护性等各类问题，技术人员应进行解答并帮助其解决问题，同时记录问题内容，根据问题提出的频率整理出技术支持问题列表和相应的文档资料，定期进行发布，帮助用户更好的理解和使用系统。主要工作内容和职责包括：</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lang w:val="en-US" w:eastAsia="zh-CN"/>
        </w:rPr>
        <w:t>1</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rPr>
        <w:t>对软件使用过程中出现的各类问题进行解答。</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lang w:val="en-US" w:eastAsia="zh-CN"/>
        </w:rPr>
        <w:t>2</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rPr>
        <w:t>处理建议以前台操作为主，能够通过前台操作完成的，不能在后台调整。</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lang w:val="en-US" w:eastAsia="zh-CN"/>
        </w:rPr>
        <w:t>3</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rPr>
        <w:t>系统使用中出现的常见问题，及时通过文档等形式予以发布。</w:t>
      </w:r>
    </w:p>
    <w:p>
      <w:pPr>
        <w:keepNext w:val="0"/>
        <w:keepLines w:val="0"/>
        <w:pageBreakBefore w:val="0"/>
        <w:widowControl/>
        <w:shd w:val="clear" w:color="auto" w:fill="FFFFFF"/>
        <w:kinsoku/>
        <w:wordWrap/>
        <w:overflowPunct/>
        <w:topLinePunct w:val="0"/>
        <w:autoSpaceDE/>
        <w:autoSpaceDN/>
        <w:bidi w:val="0"/>
        <w:adjustRightInd/>
        <w:snapToGrid/>
        <w:spacing w:before="225" w:line="560" w:lineRule="exact"/>
        <w:ind w:firstLine="643" w:firstLineChars="200"/>
        <w:textAlignment w:val="auto"/>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5.需求整理</w:t>
      </w:r>
    </w:p>
    <w:p>
      <w:pPr>
        <w:keepNext w:val="0"/>
        <w:keepLines w:val="0"/>
        <w:pageBreakBefore w:val="0"/>
        <w:widowControl/>
        <w:shd w:val="clear" w:color="auto" w:fill="FFFFFF"/>
        <w:kinsoku/>
        <w:wordWrap/>
        <w:overflowPunct/>
        <w:topLinePunct w:val="0"/>
        <w:autoSpaceDE/>
        <w:autoSpaceDN/>
        <w:bidi w:val="0"/>
        <w:adjustRightInd/>
        <w:snapToGrid/>
        <w:spacing w:before="225"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根据业主方提出软件需求，与业主方项目负责人一起进行评估，分析系统需求变更方案，制定计划。</w:t>
      </w:r>
    </w:p>
    <w:p>
      <w:pPr>
        <w:keepNext w:val="0"/>
        <w:keepLines w:val="0"/>
        <w:pageBreakBefore w:val="0"/>
        <w:widowControl/>
        <w:shd w:val="clear" w:color="auto" w:fill="FFFFFF"/>
        <w:kinsoku/>
        <w:wordWrap/>
        <w:overflowPunct/>
        <w:topLinePunct w:val="0"/>
        <w:autoSpaceDE/>
        <w:autoSpaceDN/>
        <w:bidi w:val="0"/>
        <w:adjustRightInd/>
        <w:snapToGrid/>
        <w:spacing w:before="225" w:line="560" w:lineRule="exact"/>
        <w:ind w:firstLine="643" w:firstLineChars="200"/>
        <w:textAlignment w:val="auto"/>
        <w:rPr>
          <w:rFonts w:hint="eastAsia" w:ascii="仿宋_GB2312" w:hAnsi="仿宋_GB2312" w:eastAsia="仿宋_GB2312" w:cs="仿宋_GB2312"/>
          <w:b/>
          <w:bCs/>
          <w:color w:val="333333"/>
          <w:kern w:val="0"/>
          <w:sz w:val="32"/>
          <w:szCs w:val="32"/>
          <w:lang w:eastAsia="zh-CN"/>
        </w:rPr>
      </w:pPr>
      <w:r>
        <w:rPr>
          <w:rFonts w:hint="eastAsia" w:ascii="仿宋_GB2312" w:hAnsi="仿宋_GB2312" w:eastAsia="仿宋_GB2312" w:cs="仿宋_GB2312"/>
          <w:b/>
          <w:bCs/>
          <w:color w:val="333333"/>
          <w:kern w:val="0"/>
          <w:sz w:val="32"/>
          <w:szCs w:val="32"/>
        </w:rPr>
        <w:t>6.重要时期值</w:t>
      </w:r>
      <w:r>
        <w:rPr>
          <w:rFonts w:hint="eastAsia" w:ascii="仿宋_GB2312" w:hAnsi="仿宋_GB2312" w:eastAsia="仿宋_GB2312" w:cs="仿宋_GB2312"/>
          <w:b/>
          <w:bCs/>
          <w:color w:val="333333"/>
          <w:kern w:val="0"/>
          <w:sz w:val="32"/>
          <w:szCs w:val="32"/>
          <w:lang w:eastAsia="zh-CN"/>
        </w:rPr>
        <w:t>守</w:t>
      </w:r>
    </w:p>
    <w:p>
      <w:pPr>
        <w:keepNext w:val="0"/>
        <w:keepLines w:val="0"/>
        <w:pageBreakBefore w:val="0"/>
        <w:widowControl/>
        <w:shd w:val="clear" w:color="auto" w:fill="FFFFFF"/>
        <w:kinsoku/>
        <w:wordWrap/>
        <w:overflowPunct/>
        <w:topLinePunct w:val="0"/>
        <w:autoSpaceDE/>
        <w:autoSpaceDN/>
        <w:bidi w:val="0"/>
        <w:adjustRightInd/>
        <w:snapToGrid/>
        <w:spacing w:before="225"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重要时期或应甲方要求，提供24小时</w:t>
      </w:r>
      <w:r>
        <w:rPr>
          <w:rFonts w:hint="eastAsia" w:ascii="仿宋_GB2312" w:hAnsi="仿宋_GB2312" w:eastAsia="仿宋_GB2312" w:cs="仿宋_GB2312"/>
          <w:sz w:val="32"/>
          <w:szCs w:val="32"/>
          <w:lang w:eastAsia="zh-CN"/>
        </w:rPr>
        <w:t>现场值守</w:t>
      </w:r>
      <w:r>
        <w:rPr>
          <w:rFonts w:hint="eastAsia" w:ascii="仿宋_GB2312" w:hAnsi="仿宋_GB2312" w:eastAsia="仿宋_GB2312" w:cs="仿宋_GB2312"/>
          <w:sz w:val="32"/>
          <w:szCs w:val="32"/>
        </w:rPr>
        <w:t>保障，保证系统的正常运行。</w:t>
      </w:r>
    </w:p>
    <w:bookmarkEnd w:id="4"/>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225" w:line="560" w:lineRule="exact"/>
        <w:ind w:leftChars="0" w:firstLine="640" w:firstLineChars="200"/>
        <w:textAlignment w:val="auto"/>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lang w:val="en-US" w:eastAsia="zh-CN"/>
        </w:rPr>
        <w:t>二、</w:t>
      </w:r>
      <w:r>
        <w:rPr>
          <w:rFonts w:hint="eastAsia" w:ascii="黑体" w:hAnsi="黑体" w:eastAsia="黑体" w:cs="黑体"/>
          <w:color w:val="333333"/>
          <w:kern w:val="0"/>
          <w:sz w:val="32"/>
          <w:szCs w:val="32"/>
          <w:lang w:eastAsia="zh-CN"/>
        </w:rPr>
        <w:t>服务</w:t>
      </w:r>
      <w:r>
        <w:rPr>
          <w:rFonts w:hint="eastAsia" w:ascii="黑体" w:hAnsi="黑体" w:eastAsia="黑体" w:cs="黑体"/>
          <w:color w:val="333333"/>
          <w:kern w:val="0"/>
          <w:sz w:val="32"/>
          <w:szCs w:val="32"/>
        </w:rPr>
        <w:t>响应</w:t>
      </w:r>
      <w:r>
        <w:rPr>
          <w:rFonts w:hint="eastAsia" w:ascii="黑体" w:hAnsi="黑体" w:eastAsia="黑体" w:cs="黑体"/>
          <w:color w:val="333333"/>
          <w:kern w:val="0"/>
          <w:sz w:val="32"/>
          <w:szCs w:val="32"/>
          <w:lang w:eastAsia="zh-CN"/>
        </w:rPr>
        <w:t>要求</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225" w:line="560" w:lineRule="exact"/>
        <w:ind w:leftChars="0" w:firstLine="640" w:firstLineChars="200"/>
        <w:textAlignment w:val="auto"/>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供应商</w:t>
      </w:r>
      <w:r>
        <w:rPr>
          <w:rFonts w:hint="eastAsia" w:ascii="仿宋_GB2312" w:hAnsi="仿宋_GB2312" w:eastAsia="仿宋_GB2312" w:cs="仿宋_GB2312"/>
          <w:color w:val="333333"/>
          <w:kern w:val="0"/>
          <w:sz w:val="32"/>
          <w:szCs w:val="32"/>
          <w:lang w:eastAsia="zh-CN"/>
        </w:rPr>
        <w:t>出具承诺函并加盖公章，承诺</w:t>
      </w:r>
      <w:r>
        <w:rPr>
          <w:rFonts w:hint="eastAsia" w:ascii="仿宋_GB2312" w:hAnsi="仿宋_GB2312" w:eastAsia="仿宋_GB2312" w:cs="仿宋_GB2312"/>
          <w:color w:val="333333"/>
          <w:kern w:val="0"/>
          <w:sz w:val="32"/>
          <w:szCs w:val="32"/>
        </w:rPr>
        <w:t>具有</w:t>
      </w:r>
      <w:r>
        <w:rPr>
          <w:rFonts w:hint="eastAsia" w:ascii="仿宋_GB2312" w:hAnsi="仿宋_GB2312" w:eastAsia="仿宋_GB2312" w:cs="仿宋_GB2312"/>
          <w:color w:val="333333"/>
          <w:kern w:val="0"/>
          <w:sz w:val="32"/>
          <w:szCs w:val="32"/>
          <w:lang w:eastAsia="zh-CN"/>
        </w:rPr>
        <w:t>本</w:t>
      </w:r>
      <w:r>
        <w:rPr>
          <w:rFonts w:hint="eastAsia" w:ascii="仿宋_GB2312" w:hAnsi="仿宋_GB2312" w:eastAsia="仿宋_GB2312" w:cs="仿宋_GB2312"/>
          <w:color w:val="333333"/>
          <w:kern w:val="0"/>
          <w:sz w:val="32"/>
          <w:szCs w:val="32"/>
        </w:rPr>
        <w:t>地</w:t>
      </w:r>
      <w:r>
        <w:rPr>
          <w:rFonts w:hint="eastAsia" w:ascii="仿宋_GB2312" w:hAnsi="仿宋_GB2312" w:eastAsia="仿宋_GB2312" w:cs="仿宋_GB2312"/>
          <w:color w:val="333333"/>
          <w:kern w:val="0"/>
          <w:sz w:val="32"/>
          <w:szCs w:val="32"/>
          <w:lang w:eastAsia="zh-CN"/>
        </w:rPr>
        <w:t>化（福州市）</w:t>
      </w:r>
      <w:r>
        <w:rPr>
          <w:rFonts w:hint="eastAsia" w:ascii="仿宋_GB2312" w:hAnsi="仿宋_GB2312" w:eastAsia="仿宋_GB2312" w:cs="仿宋_GB2312"/>
          <w:color w:val="333333"/>
          <w:kern w:val="0"/>
          <w:sz w:val="32"/>
          <w:szCs w:val="32"/>
        </w:rPr>
        <w:t>运维服务能力</w:t>
      </w:r>
      <w:r>
        <w:rPr>
          <w:rFonts w:hint="eastAsia" w:ascii="仿宋_GB2312" w:hAnsi="仿宋_GB2312" w:eastAsia="仿宋_GB2312" w:cs="仿宋_GB2312"/>
          <w:color w:val="333333"/>
          <w:kern w:val="0"/>
          <w:sz w:val="32"/>
          <w:szCs w:val="32"/>
          <w:lang w:eastAsia="zh-CN"/>
        </w:rPr>
        <w:t>，满足下表应急响应要求。</w:t>
      </w:r>
    </w:p>
    <w:tbl>
      <w:tblPr>
        <w:tblStyle w:val="3"/>
        <w:tblW w:w="8464" w:type="dxa"/>
        <w:tblCellSpacing w:w="15"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251"/>
        <w:gridCol w:w="4103"/>
        <w:gridCol w:w="1268"/>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559" w:hRule="atLeast"/>
          <w:tblCellSpacing w:w="15" w:type="dxa"/>
        </w:trPr>
        <w:tc>
          <w:tcPr>
            <w:tcW w:w="1206" w:type="dxa"/>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 w:line="400" w:lineRule="exact"/>
              <w:jc w:val="center"/>
              <w:textAlignment w:val="auto"/>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故障级别</w:t>
            </w:r>
          </w:p>
        </w:tc>
        <w:tc>
          <w:tcPr>
            <w:tcW w:w="4073" w:type="dxa"/>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 w:line="400" w:lineRule="exact"/>
              <w:jc w:val="center"/>
              <w:textAlignment w:val="auto"/>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故障主要特征</w:t>
            </w:r>
          </w:p>
        </w:tc>
        <w:tc>
          <w:tcPr>
            <w:tcW w:w="1238" w:type="dxa"/>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 w:line="400" w:lineRule="exact"/>
              <w:jc w:val="center"/>
              <w:textAlignment w:val="auto"/>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响应时间</w:t>
            </w:r>
          </w:p>
        </w:tc>
        <w:tc>
          <w:tcPr>
            <w:tcW w:w="1797" w:type="dxa"/>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 w:line="400" w:lineRule="exact"/>
              <w:jc w:val="center"/>
              <w:textAlignment w:val="auto"/>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恢复时间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82" w:hRule="atLeast"/>
          <w:tblCellSpacing w:w="15" w:type="dxa"/>
        </w:trPr>
        <w:tc>
          <w:tcPr>
            <w:tcW w:w="1206" w:type="dxa"/>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紧急</w:t>
            </w:r>
          </w:p>
        </w:tc>
        <w:tc>
          <w:tcPr>
            <w:tcW w:w="4073" w:type="dxa"/>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系统出现宕机等严重问题；系统无法启用；出现关键业务故障；系统故障可能造成重大安全事故或损失。</w:t>
            </w:r>
          </w:p>
        </w:tc>
        <w:tc>
          <w:tcPr>
            <w:tcW w:w="1238" w:type="dxa"/>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10分钟</w:t>
            </w:r>
          </w:p>
        </w:tc>
        <w:tc>
          <w:tcPr>
            <w:tcW w:w="1797" w:type="dxa"/>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82" w:hRule="atLeast"/>
          <w:tblCellSpacing w:w="15" w:type="dxa"/>
        </w:trPr>
        <w:tc>
          <w:tcPr>
            <w:tcW w:w="1206" w:type="dxa"/>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一般</w:t>
            </w:r>
          </w:p>
        </w:tc>
        <w:tc>
          <w:tcPr>
            <w:tcW w:w="4073" w:type="dxa"/>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系统基本正常，出现非致命性、非关键业务错误，但影响用户工作。</w:t>
            </w:r>
          </w:p>
        </w:tc>
        <w:tc>
          <w:tcPr>
            <w:tcW w:w="1238" w:type="dxa"/>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半小时内</w:t>
            </w:r>
          </w:p>
        </w:tc>
        <w:tc>
          <w:tcPr>
            <w:tcW w:w="1797" w:type="dxa"/>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8小时</w:t>
            </w:r>
            <w:r>
              <w:rPr>
                <w:rFonts w:hint="eastAsia" w:ascii="仿宋_GB2312" w:hAnsi="仿宋_GB2312" w:eastAsia="仿宋_GB2312" w:cs="仿宋_GB2312"/>
                <w:kern w:val="0"/>
                <w:sz w:val="28"/>
                <w:szCs w:val="28"/>
              </w:rPr>
              <w:t>内（具体要视问题解决的难易程度和限制条件定）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3" w:hRule="atLeast"/>
          <w:tblCellSpacing w:w="15" w:type="dxa"/>
        </w:trPr>
        <w:tc>
          <w:tcPr>
            <w:tcW w:w="1206" w:type="dxa"/>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轻微</w:t>
            </w:r>
          </w:p>
        </w:tc>
        <w:tc>
          <w:tcPr>
            <w:tcW w:w="4073" w:type="dxa"/>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其他非功能性问题，如用户认为操作不方便、不够友好而要求改进。</w:t>
            </w:r>
          </w:p>
        </w:tc>
        <w:tc>
          <w:tcPr>
            <w:tcW w:w="1238" w:type="dxa"/>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按需</w:t>
            </w:r>
          </w:p>
        </w:tc>
        <w:tc>
          <w:tcPr>
            <w:tcW w:w="1797" w:type="dxa"/>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按需</w:t>
            </w:r>
          </w:p>
        </w:tc>
      </w:tr>
    </w:tbl>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225" w:line="560" w:lineRule="exact"/>
        <w:ind w:leftChars="0" w:firstLine="640" w:firstLineChars="200"/>
        <w:textAlignment w:val="auto"/>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lang w:val="en-US" w:eastAsia="zh-CN"/>
        </w:rPr>
        <w:t>三、</w:t>
      </w:r>
      <w:r>
        <w:rPr>
          <w:rFonts w:hint="eastAsia" w:ascii="黑体" w:hAnsi="黑体" w:eastAsia="黑体" w:cs="黑体"/>
          <w:color w:val="333333"/>
          <w:kern w:val="0"/>
          <w:sz w:val="32"/>
          <w:szCs w:val="32"/>
        </w:rPr>
        <w:t>服务期限</w:t>
      </w:r>
    </w:p>
    <w:p>
      <w:pPr>
        <w:keepNext w:val="0"/>
        <w:keepLines w:val="0"/>
        <w:pageBreakBefore w:val="0"/>
        <w:widowControl/>
        <w:shd w:val="clear" w:color="auto" w:fill="FFFFFF"/>
        <w:kinsoku/>
        <w:wordWrap/>
        <w:overflowPunct/>
        <w:topLinePunct w:val="0"/>
        <w:autoSpaceDE/>
        <w:autoSpaceDN/>
        <w:bidi w:val="0"/>
        <w:adjustRightInd/>
        <w:snapToGrid/>
        <w:spacing w:before="225"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维护服务期一年。</w:t>
      </w:r>
    </w:p>
    <w:p>
      <w:pPr>
        <w:pStyle w:val="7"/>
        <w:numPr>
          <w:ilvl w:val="0"/>
          <w:numId w:val="0"/>
        </w:numPr>
        <w:ind w:firstLine="640" w:firstLineChars="200"/>
        <w:rPr>
          <w:rFonts w:hint="eastAsia" w:ascii="黑体" w:hAnsi="黑体" w:eastAsia="黑体" w:cs="黑体"/>
          <w:color w:val="333333"/>
          <w:kern w:val="0"/>
          <w:sz w:val="32"/>
          <w:szCs w:val="32"/>
          <w:lang w:val="en-US" w:eastAsia="zh-CN"/>
        </w:rPr>
      </w:pPr>
      <w:r>
        <w:rPr>
          <w:rFonts w:hint="eastAsia" w:ascii="黑体" w:hAnsi="黑体" w:eastAsia="黑体" w:cs="黑体"/>
          <w:color w:val="333333"/>
          <w:kern w:val="0"/>
          <w:sz w:val="32"/>
          <w:szCs w:val="32"/>
          <w:lang w:val="en-US" w:eastAsia="zh-CN"/>
        </w:rPr>
        <w:t>四、付款条件</w:t>
      </w:r>
    </w:p>
    <w:p>
      <w:pPr>
        <w:shd w:val="clear" w:color="auto" w:fill="FFFFFF"/>
        <w:spacing w:before="225" w:line="56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1、合同签订生效后，采购人收到成交人等额发票后</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达到付款条件起1</w:t>
      </w:r>
      <w:r>
        <w:rPr>
          <w:rFonts w:hint="eastAsia" w:ascii="仿宋_GB2312" w:hAnsi="仿宋_GB2312" w:eastAsia="仿宋_GB2312" w:cs="仿宋_GB2312"/>
          <w:color w:val="auto"/>
          <w:kern w:val="0"/>
          <w:sz w:val="32"/>
          <w:szCs w:val="32"/>
          <w:lang w:val="en-US" w:eastAsia="zh-CN"/>
        </w:rPr>
        <w:t>5个工作</w:t>
      </w:r>
      <w:r>
        <w:rPr>
          <w:rFonts w:hint="eastAsia" w:ascii="仿宋_GB2312" w:hAnsi="仿宋_GB2312" w:eastAsia="仿宋_GB2312" w:cs="仿宋_GB2312"/>
          <w:color w:val="auto"/>
          <w:kern w:val="0"/>
          <w:sz w:val="32"/>
          <w:szCs w:val="32"/>
        </w:rPr>
        <w:t>日内，支付合同总金额的</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0.00%作为预付款</w:t>
      </w:r>
      <w:r>
        <w:rPr>
          <w:rFonts w:hint="eastAsia" w:ascii="仿宋_GB2312" w:hAnsi="仿宋_GB2312" w:eastAsia="仿宋_GB2312" w:cs="仿宋_GB2312"/>
          <w:color w:val="auto"/>
          <w:kern w:val="0"/>
          <w:sz w:val="32"/>
          <w:szCs w:val="32"/>
          <w:lang w:eastAsia="zh-CN"/>
        </w:rPr>
        <w:t>；</w:t>
      </w:r>
    </w:p>
    <w:p>
      <w:pPr>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2、在一年服务期最后一个月当月内，由采购人对成交人提供的服务完成情况做出</w:t>
      </w:r>
      <w:r>
        <w:rPr>
          <w:rFonts w:hint="eastAsia" w:ascii="仿宋_GB2312" w:hAnsi="仿宋_GB2312" w:eastAsia="仿宋_GB2312" w:cs="仿宋_GB2312"/>
          <w:color w:val="auto"/>
          <w:kern w:val="0"/>
          <w:sz w:val="32"/>
          <w:szCs w:val="32"/>
          <w:lang w:eastAsia="zh-CN"/>
        </w:rPr>
        <w:t>考核，</w:t>
      </w:r>
      <w:r>
        <w:rPr>
          <w:rFonts w:hint="eastAsia" w:ascii="仿宋_GB2312" w:hAnsi="仿宋_GB2312" w:eastAsia="仿宋_GB2312" w:cs="仿宋_GB2312"/>
          <w:color w:val="auto"/>
          <w:kern w:val="0"/>
          <w:sz w:val="32"/>
          <w:szCs w:val="32"/>
        </w:rPr>
        <w:t>成交人开具等额发票，1</w:t>
      </w:r>
      <w:r>
        <w:rPr>
          <w:rFonts w:hint="eastAsia" w:ascii="仿宋_GB2312" w:hAnsi="仿宋_GB2312" w:eastAsia="仿宋_GB2312" w:cs="仿宋_GB2312"/>
          <w:color w:val="auto"/>
          <w:kern w:val="0"/>
          <w:sz w:val="32"/>
          <w:szCs w:val="32"/>
          <w:lang w:val="en-US" w:eastAsia="zh-CN"/>
        </w:rPr>
        <w:t>5个工作</w:t>
      </w:r>
      <w:r>
        <w:rPr>
          <w:rFonts w:hint="eastAsia" w:ascii="仿宋_GB2312" w:hAnsi="仿宋_GB2312" w:eastAsia="仿宋_GB2312" w:cs="仿宋_GB2312"/>
          <w:color w:val="auto"/>
          <w:kern w:val="0"/>
          <w:sz w:val="32"/>
          <w:szCs w:val="32"/>
        </w:rPr>
        <w:t>日内由采购人</w:t>
      </w:r>
      <w:r>
        <w:rPr>
          <w:rFonts w:hint="eastAsia" w:ascii="仿宋_GB2312" w:hAnsi="仿宋_GB2312" w:eastAsia="仿宋_GB2312" w:cs="仿宋_GB2312"/>
          <w:color w:val="auto"/>
          <w:kern w:val="0"/>
          <w:sz w:val="32"/>
          <w:szCs w:val="32"/>
          <w:lang w:eastAsia="zh-CN"/>
        </w:rPr>
        <w:t>按考核结果</w:t>
      </w:r>
      <w:r>
        <w:rPr>
          <w:rFonts w:hint="eastAsia" w:ascii="仿宋_GB2312" w:hAnsi="仿宋_GB2312" w:eastAsia="仿宋_GB2312" w:cs="仿宋_GB2312"/>
          <w:color w:val="auto"/>
          <w:kern w:val="0"/>
          <w:sz w:val="32"/>
          <w:szCs w:val="32"/>
        </w:rPr>
        <w:t>支付剩余服务费</w:t>
      </w:r>
      <w:r>
        <w:rPr>
          <w:rFonts w:hint="eastAsia" w:ascii="仿宋_GB2312" w:hAnsi="仿宋_GB2312" w:eastAsia="仿宋_GB2312" w:cs="仿宋_GB2312"/>
          <w:color w:val="auto"/>
          <w:kern w:val="0"/>
          <w:sz w:val="32"/>
          <w:szCs w:val="32"/>
          <w:lang w:eastAsia="zh-CN"/>
        </w:rPr>
        <w:t>。</w:t>
      </w:r>
    </w:p>
    <w:p>
      <w:pPr>
        <w:pStyle w:val="7"/>
        <w:numPr>
          <w:ilvl w:val="0"/>
          <w:numId w:val="0"/>
        </w:numPr>
        <w:ind w:firstLine="640" w:firstLineChars="200"/>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lang w:eastAsia="zh-CN"/>
        </w:rPr>
        <w:t>五、</w:t>
      </w:r>
      <w:r>
        <w:rPr>
          <w:rFonts w:hint="eastAsia" w:ascii="黑体" w:hAnsi="黑体" w:eastAsia="黑体" w:cs="黑体"/>
          <w:b w:val="0"/>
          <w:bCs w:val="0"/>
          <w:color w:val="333333"/>
          <w:kern w:val="0"/>
          <w:sz w:val="32"/>
          <w:szCs w:val="32"/>
        </w:rPr>
        <w:t>运维工作考核</w:t>
      </w:r>
    </w:p>
    <w:p>
      <w:pPr>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考核办法满分为100分，由采购人结合工作实际，给予年度评定技术服务考核。该分数将作为合同款支付的依据。考核分数90-100分（含90分），支付100%合同款；考核分数80-89分（含80分），支付8</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%合同款；考核分数70-79分（含70分），支付</w:t>
      </w: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0%合同款；考核分数低于70分的视为验收不合格，乙方赔付甲方30%合同款的违约金。</w:t>
      </w:r>
      <w:r>
        <w:rPr>
          <w:rFonts w:hint="eastAsia" w:ascii="仿宋_GB2312" w:hAnsi="仿宋_GB2312" w:eastAsia="仿宋_GB2312" w:cs="仿宋_GB2312"/>
          <w:b w:val="0"/>
          <w:color w:val="auto"/>
          <w:kern w:val="0"/>
          <w:sz w:val="32"/>
          <w:szCs w:val="32"/>
        </w:rPr>
        <w:t>具体事项及不详尽之处以最终签订的政府采购合同约定为准。</w:t>
      </w:r>
    </w:p>
    <w:p>
      <w:pPr>
        <w:pStyle w:val="2"/>
        <w:widowControl/>
        <w:spacing w:beforeAutospacing="0" w:after="150" w:afterAutospacing="0"/>
        <w:ind w:firstLine="0" w:firstLineChars="0"/>
        <w:jc w:val="center"/>
        <w:rPr>
          <w:rStyle w:val="5"/>
          <w:rFonts w:hint="eastAsia" w:ascii="黑体" w:hAnsi="黑体" w:eastAsia="黑体" w:cs="黑体"/>
          <w:b w:val="0"/>
          <w:bCs w:val="0"/>
          <w:sz w:val="32"/>
          <w:szCs w:val="32"/>
          <w:lang w:eastAsia="zh-CN"/>
        </w:rPr>
      </w:pPr>
      <w:r>
        <w:rPr>
          <w:rFonts w:hint="eastAsia" w:ascii="黑体" w:hAnsi="黑体" w:eastAsia="黑体" w:cs="黑体"/>
          <w:b w:val="0"/>
          <w:bCs w:val="0"/>
          <w:color w:val="333333"/>
          <w:kern w:val="0"/>
          <w:sz w:val="32"/>
          <w:szCs w:val="32"/>
        </w:rPr>
        <w:t>运维工作考核</w:t>
      </w:r>
      <w:r>
        <w:rPr>
          <w:rFonts w:hint="eastAsia" w:ascii="黑体" w:hAnsi="黑体" w:eastAsia="黑体" w:cs="黑体"/>
          <w:b w:val="0"/>
          <w:bCs w:val="0"/>
          <w:color w:val="333333"/>
          <w:kern w:val="0"/>
          <w:sz w:val="32"/>
          <w:szCs w:val="32"/>
          <w:lang w:eastAsia="zh-CN"/>
        </w:rPr>
        <w:t>表</w:t>
      </w:r>
    </w:p>
    <w:tbl>
      <w:tblPr>
        <w:tblStyle w:val="3"/>
        <w:tblW w:w="9051"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32"/>
        <w:gridCol w:w="815"/>
        <w:gridCol w:w="699"/>
        <w:gridCol w:w="1062"/>
        <w:gridCol w:w="3846"/>
        <w:gridCol w:w="765"/>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0" w:hRule="atLeast"/>
          <w:tblCellSpacing w:w="15" w:type="dxa"/>
          <w:jc w:val="center"/>
        </w:trPr>
        <w:tc>
          <w:tcPr>
            <w:tcW w:w="887" w:type="dxa"/>
            <w:tcBorders>
              <w:tl2br w:val="nil"/>
              <w:tr2bl w:val="nil"/>
            </w:tcBorders>
            <w:noWrap w:val="0"/>
            <w:vAlign w:val="center"/>
          </w:tcPr>
          <w:p>
            <w:pPr>
              <w:pStyle w:val="2"/>
              <w:widowControl/>
              <w:spacing w:beforeAutospacing="0" w:afterAutospacing="0"/>
              <w:ind w:firstLine="0" w:firstLineChars="0"/>
              <w:jc w:val="center"/>
              <w:textAlignment w:val="center"/>
              <w:rPr>
                <w:rFonts w:hint="eastAsia" w:ascii="黑体" w:hAnsi="黑体" w:eastAsia="黑体" w:cs="黑体"/>
                <w:bCs/>
                <w:sz w:val="28"/>
                <w:szCs w:val="28"/>
              </w:rPr>
            </w:pPr>
            <w:r>
              <w:rPr>
                <w:rStyle w:val="5"/>
                <w:rFonts w:hint="eastAsia" w:ascii="黑体" w:hAnsi="黑体" w:eastAsia="黑体" w:cs="黑体"/>
                <w:b w:val="0"/>
                <w:bCs/>
                <w:sz w:val="28"/>
                <w:szCs w:val="28"/>
              </w:rPr>
              <w:t>序号</w:t>
            </w:r>
          </w:p>
        </w:tc>
        <w:tc>
          <w:tcPr>
            <w:tcW w:w="785" w:type="dxa"/>
            <w:tcBorders>
              <w:tl2br w:val="nil"/>
              <w:tr2bl w:val="nil"/>
            </w:tcBorders>
            <w:noWrap w:val="0"/>
            <w:vAlign w:val="center"/>
          </w:tcPr>
          <w:p>
            <w:pPr>
              <w:pStyle w:val="2"/>
              <w:widowControl/>
              <w:spacing w:beforeAutospacing="0" w:afterAutospacing="0"/>
              <w:ind w:firstLine="0" w:firstLineChars="0"/>
              <w:jc w:val="center"/>
              <w:textAlignment w:val="center"/>
              <w:rPr>
                <w:rStyle w:val="5"/>
                <w:rFonts w:hint="eastAsia" w:ascii="黑体" w:hAnsi="黑体" w:eastAsia="黑体" w:cs="黑体"/>
                <w:b w:val="0"/>
                <w:bCs/>
                <w:sz w:val="28"/>
                <w:szCs w:val="28"/>
              </w:rPr>
            </w:pPr>
            <w:r>
              <w:rPr>
                <w:rStyle w:val="5"/>
                <w:rFonts w:hint="eastAsia" w:ascii="黑体" w:hAnsi="黑体" w:eastAsia="黑体" w:cs="黑体"/>
                <w:b w:val="0"/>
                <w:bCs/>
                <w:sz w:val="28"/>
                <w:szCs w:val="28"/>
              </w:rPr>
              <w:t>指标</w:t>
            </w:r>
          </w:p>
          <w:p>
            <w:pPr>
              <w:pStyle w:val="2"/>
              <w:widowControl/>
              <w:spacing w:beforeAutospacing="0" w:afterAutospacing="0"/>
              <w:ind w:firstLine="0" w:firstLineChars="0"/>
              <w:jc w:val="center"/>
              <w:textAlignment w:val="center"/>
              <w:rPr>
                <w:rFonts w:hint="eastAsia" w:ascii="黑体" w:hAnsi="黑体" w:eastAsia="黑体" w:cs="黑体"/>
                <w:bCs/>
                <w:sz w:val="28"/>
                <w:szCs w:val="28"/>
              </w:rPr>
            </w:pPr>
            <w:r>
              <w:rPr>
                <w:rStyle w:val="5"/>
                <w:rFonts w:hint="eastAsia" w:ascii="黑体" w:hAnsi="黑体" w:eastAsia="黑体" w:cs="黑体"/>
                <w:b w:val="0"/>
                <w:bCs/>
                <w:sz w:val="28"/>
                <w:szCs w:val="28"/>
              </w:rPr>
              <w:t>名称</w:t>
            </w:r>
          </w:p>
        </w:tc>
        <w:tc>
          <w:tcPr>
            <w:tcW w:w="669" w:type="dxa"/>
            <w:tcBorders>
              <w:tl2br w:val="nil"/>
              <w:tr2bl w:val="nil"/>
            </w:tcBorders>
            <w:noWrap w:val="0"/>
            <w:vAlign w:val="center"/>
          </w:tcPr>
          <w:p>
            <w:pPr>
              <w:pStyle w:val="2"/>
              <w:widowControl/>
              <w:spacing w:beforeAutospacing="0" w:afterAutospacing="0"/>
              <w:ind w:firstLine="0" w:firstLineChars="0"/>
              <w:jc w:val="center"/>
              <w:textAlignment w:val="center"/>
              <w:rPr>
                <w:rFonts w:hint="eastAsia" w:ascii="黑体" w:hAnsi="黑体" w:eastAsia="黑体" w:cs="黑体"/>
                <w:bCs/>
                <w:sz w:val="28"/>
                <w:szCs w:val="28"/>
              </w:rPr>
            </w:pPr>
            <w:r>
              <w:rPr>
                <w:rStyle w:val="5"/>
                <w:rFonts w:hint="eastAsia" w:ascii="黑体" w:hAnsi="黑体" w:eastAsia="黑体" w:cs="黑体"/>
                <w:b w:val="0"/>
                <w:bCs/>
                <w:sz w:val="28"/>
                <w:szCs w:val="28"/>
              </w:rPr>
              <w:t>分值</w:t>
            </w:r>
          </w:p>
        </w:tc>
        <w:tc>
          <w:tcPr>
            <w:tcW w:w="4878" w:type="dxa"/>
            <w:gridSpan w:val="2"/>
            <w:tcBorders>
              <w:tl2br w:val="nil"/>
              <w:tr2bl w:val="nil"/>
            </w:tcBorders>
            <w:noWrap w:val="0"/>
            <w:vAlign w:val="center"/>
          </w:tcPr>
          <w:p>
            <w:pPr>
              <w:pStyle w:val="2"/>
              <w:widowControl/>
              <w:spacing w:beforeAutospacing="0" w:afterAutospacing="0"/>
              <w:ind w:firstLine="0" w:firstLineChars="0"/>
              <w:jc w:val="center"/>
              <w:textAlignment w:val="center"/>
              <w:rPr>
                <w:rFonts w:hint="eastAsia" w:ascii="黑体" w:hAnsi="黑体" w:eastAsia="黑体" w:cs="黑体"/>
                <w:bCs/>
                <w:sz w:val="28"/>
                <w:szCs w:val="28"/>
              </w:rPr>
            </w:pPr>
            <w:r>
              <w:rPr>
                <w:rStyle w:val="5"/>
                <w:rFonts w:hint="eastAsia" w:ascii="黑体" w:hAnsi="黑体" w:eastAsia="黑体" w:cs="黑体"/>
                <w:b w:val="0"/>
                <w:bCs/>
                <w:sz w:val="28"/>
                <w:szCs w:val="28"/>
              </w:rPr>
              <w:t>考核内容及标准</w:t>
            </w:r>
          </w:p>
        </w:tc>
        <w:tc>
          <w:tcPr>
            <w:tcW w:w="735" w:type="dxa"/>
            <w:tcBorders>
              <w:tl2br w:val="nil"/>
              <w:tr2bl w:val="nil"/>
            </w:tcBorders>
            <w:noWrap w:val="0"/>
            <w:vAlign w:val="center"/>
          </w:tcPr>
          <w:p>
            <w:pPr>
              <w:pStyle w:val="2"/>
              <w:widowControl/>
              <w:spacing w:beforeAutospacing="0" w:afterAutospacing="0"/>
              <w:ind w:firstLine="0" w:firstLineChars="0"/>
              <w:jc w:val="center"/>
              <w:textAlignment w:val="center"/>
              <w:rPr>
                <w:rFonts w:hint="eastAsia" w:ascii="黑体" w:hAnsi="黑体" w:eastAsia="黑体" w:cs="黑体"/>
                <w:bCs/>
                <w:sz w:val="28"/>
                <w:szCs w:val="28"/>
              </w:rPr>
            </w:pPr>
            <w:r>
              <w:rPr>
                <w:rStyle w:val="5"/>
                <w:rFonts w:hint="eastAsia" w:ascii="黑体" w:hAnsi="黑体" w:eastAsia="黑体" w:cs="黑体"/>
                <w:b w:val="0"/>
                <w:bCs/>
                <w:sz w:val="28"/>
                <w:szCs w:val="28"/>
              </w:rPr>
              <w:t>评分</w:t>
            </w:r>
          </w:p>
        </w:tc>
        <w:tc>
          <w:tcPr>
            <w:tcW w:w="887" w:type="dxa"/>
            <w:tcBorders>
              <w:tl2br w:val="nil"/>
              <w:tr2bl w:val="nil"/>
            </w:tcBorders>
            <w:noWrap w:val="0"/>
            <w:vAlign w:val="center"/>
          </w:tcPr>
          <w:p>
            <w:pPr>
              <w:pStyle w:val="2"/>
              <w:widowControl/>
              <w:spacing w:beforeAutospacing="0" w:afterAutospacing="0"/>
              <w:ind w:firstLine="0" w:firstLineChars="0"/>
              <w:jc w:val="center"/>
              <w:textAlignment w:val="center"/>
              <w:rPr>
                <w:rFonts w:hint="eastAsia" w:ascii="黑体" w:hAnsi="黑体" w:eastAsia="黑体" w:cs="黑体"/>
                <w:bCs/>
                <w:sz w:val="28"/>
                <w:szCs w:val="28"/>
              </w:rPr>
            </w:pPr>
            <w:r>
              <w:rPr>
                <w:rStyle w:val="5"/>
                <w:rFonts w:hint="eastAsia" w:ascii="黑体" w:hAnsi="黑体" w:eastAsia="黑体" w:cs="黑体"/>
                <w:b w:val="0"/>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8" w:hRule="atLeast"/>
          <w:tblCellSpacing w:w="15" w:type="dxa"/>
          <w:jc w:val="center"/>
        </w:trPr>
        <w:tc>
          <w:tcPr>
            <w:tcW w:w="887" w:type="dxa"/>
            <w:tcBorders>
              <w:tl2br w:val="nil"/>
              <w:tr2bl w:val="nil"/>
            </w:tcBorders>
            <w:noWrap w:val="0"/>
            <w:vAlign w:val="center"/>
          </w:tcPr>
          <w:p>
            <w:pPr>
              <w:pStyle w:val="2"/>
              <w:widowControl/>
              <w:spacing w:beforeAutospacing="0" w:afterAutospacing="0" w:line="400" w:lineRule="exact"/>
              <w:ind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785" w:type="dxa"/>
            <w:tcBorders>
              <w:tl2br w:val="nil"/>
              <w:tr2bl w:val="nil"/>
            </w:tcBorders>
            <w:noWrap w:val="0"/>
            <w:vAlign w:val="center"/>
          </w:tcPr>
          <w:p>
            <w:pPr>
              <w:pStyle w:val="2"/>
              <w:widowControl/>
              <w:spacing w:beforeAutospacing="0" w:afterAutospacing="0" w:line="400" w:lineRule="exact"/>
              <w:ind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日常使用培训</w:t>
            </w:r>
          </w:p>
        </w:tc>
        <w:tc>
          <w:tcPr>
            <w:tcW w:w="669" w:type="dxa"/>
            <w:tcBorders>
              <w:tl2br w:val="nil"/>
              <w:tr2bl w:val="nil"/>
            </w:tcBorders>
            <w:noWrap w:val="0"/>
            <w:vAlign w:val="center"/>
          </w:tcPr>
          <w:p>
            <w:pPr>
              <w:pStyle w:val="2"/>
              <w:widowControl/>
              <w:spacing w:beforeAutospacing="0" w:afterAutospacing="0" w:line="400" w:lineRule="exact"/>
              <w:ind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4878" w:type="dxa"/>
            <w:gridSpan w:val="2"/>
            <w:tcBorders>
              <w:tl2br w:val="nil"/>
              <w:tr2bl w:val="nil"/>
            </w:tcBorders>
            <w:noWrap w:val="0"/>
            <w:vAlign w:val="center"/>
          </w:tcPr>
          <w:p>
            <w:pPr>
              <w:pStyle w:val="2"/>
              <w:widowControl/>
              <w:spacing w:beforeAutospacing="0" w:afterAutospacing="0" w:line="400" w:lineRule="exact"/>
              <w:ind w:firstLine="0" w:firstLineChars="0"/>
              <w:textAlignment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对服务范围内的功能模块提供培训。</w:t>
            </w:r>
          </w:p>
        </w:tc>
        <w:tc>
          <w:tcPr>
            <w:tcW w:w="735" w:type="dxa"/>
            <w:tcBorders>
              <w:tl2br w:val="nil"/>
              <w:tr2bl w:val="nil"/>
            </w:tcBorders>
            <w:noWrap w:val="0"/>
            <w:vAlign w:val="center"/>
          </w:tcPr>
          <w:p>
            <w:pPr>
              <w:widowControl/>
              <w:spacing w:line="400" w:lineRule="exact"/>
              <w:jc w:val="left"/>
              <w:rPr>
                <w:rFonts w:hint="eastAsia" w:ascii="仿宋_GB2312" w:hAnsi="仿宋_GB2312" w:eastAsia="仿宋_GB2312" w:cs="仿宋_GB2312"/>
                <w:sz w:val="28"/>
                <w:szCs w:val="28"/>
              </w:rPr>
            </w:pPr>
          </w:p>
        </w:tc>
        <w:tc>
          <w:tcPr>
            <w:tcW w:w="887" w:type="dxa"/>
            <w:vMerge w:val="restart"/>
            <w:tcBorders>
              <w:tl2br w:val="nil"/>
              <w:tr2bl w:val="nil"/>
            </w:tcBorders>
            <w:noWrap w:val="0"/>
            <w:vAlign w:val="center"/>
          </w:tcPr>
          <w:p>
            <w:pPr>
              <w:pStyle w:val="2"/>
              <w:spacing w:line="400" w:lineRule="exact"/>
              <w:jc w:val="center"/>
              <w:textAlignment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8" w:hRule="atLeast"/>
          <w:tblCellSpacing w:w="15" w:type="dxa"/>
          <w:jc w:val="center"/>
        </w:trPr>
        <w:tc>
          <w:tcPr>
            <w:tcW w:w="887" w:type="dxa"/>
            <w:tcBorders>
              <w:tl2br w:val="nil"/>
              <w:tr2bl w:val="nil"/>
            </w:tcBorders>
            <w:noWrap w:val="0"/>
            <w:vAlign w:val="center"/>
          </w:tcPr>
          <w:p>
            <w:pPr>
              <w:pStyle w:val="2"/>
              <w:widowControl/>
              <w:spacing w:beforeAutospacing="0" w:afterAutospacing="0" w:line="400" w:lineRule="exact"/>
              <w:ind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785" w:type="dxa"/>
            <w:tcBorders>
              <w:tl2br w:val="nil"/>
              <w:tr2bl w:val="nil"/>
            </w:tcBorders>
            <w:noWrap w:val="0"/>
            <w:vAlign w:val="center"/>
          </w:tcPr>
          <w:p>
            <w:pPr>
              <w:pStyle w:val="2"/>
              <w:widowControl/>
              <w:spacing w:beforeAutospacing="0" w:afterAutospacing="0" w:line="400" w:lineRule="exact"/>
              <w:ind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日常</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巡检</w:t>
            </w:r>
          </w:p>
        </w:tc>
        <w:tc>
          <w:tcPr>
            <w:tcW w:w="669" w:type="dxa"/>
            <w:tcBorders>
              <w:tl2br w:val="nil"/>
              <w:tr2bl w:val="nil"/>
            </w:tcBorders>
            <w:noWrap w:val="0"/>
            <w:vAlign w:val="center"/>
          </w:tcPr>
          <w:p>
            <w:pPr>
              <w:pStyle w:val="2"/>
              <w:widowControl/>
              <w:spacing w:beforeAutospacing="0" w:afterAutospacing="0" w:line="400" w:lineRule="exact"/>
              <w:ind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4878" w:type="dxa"/>
            <w:gridSpan w:val="2"/>
            <w:tcBorders>
              <w:tl2br w:val="nil"/>
              <w:tr2bl w:val="nil"/>
            </w:tcBorders>
            <w:noWrap w:val="0"/>
            <w:vAlign w:val="center"/>
          </w:tcPr>
          <w:p>
            <w:pPr>
              <w:spacing w:line="400" w:lineRule="exact"/>
              <w:ind w:firstLine="0" w:firstLineChars="0"/>
              <w:jc w:val="left"/>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关键服务巡检：云文档服务、签章服务、短信服务、网关服务等关键服务进行可用性、响应速度、稳定性等方面的巡检。</w:t>
            </w:r>
          </w:p>
          <w:p>
            <w:pPr>
              <w:spacing w:line="400" w:lineRule="exact"/>
              <w:ind w:firstLine="0" w:firstLineChars="0"/>
              <w:jc w:val="left"/>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核心系统功能巡检：对服务范围内的重要业务功能进行巡检，验证其可用性。</w:t>
            </w:r>
          </w:p>
          <w:p>
            <w:pPr>
              <w:pStyle w:val="2"/>
              <w:widowControl/>
              <w:spacing w:beforeAutospacing="0" w:afterAutospacing="0" w:line="400" w:lineRule="exact"/>
              <w:ind w:firstLine="0" w:firstLineChars="0"/>
              <w:textAlignment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（满分20分）</w:t>
            </w:r>
          </w:p>
        </w:tc>
        <w:tc>
          <w:tcPr>
            <w:tcW w:w="735" w:type="dxa"/>
            <w:tcBorders>
              <w:tl2br w:val="nil"/>
              <w:tr2bl w:val="nil"/>
            </w:tcBorders>
            <w:noWrap w:val="0"/>
            <w:vAlign w:val="center"/>
          </w:tcPr>
          <w:p>
            <w:pPr>
              <w:widowControl/>
              <w:spacing w:line="400" w:lineRule="exact"/>
              <w:jc w:val="left"/>
              <w:rPr>
                <w:rFonts w:hint="eastAsia" w:ascii="仿宋_GB2312" w:hAnsi="仿宋_GB2312" w:eastAsia="仿宋_GB2312" w:cs="仿宋_GB2312"/>
                <w:sz w:val="28"/>
                <w:szCs w:val="28"/>
              </w:rPr>
            </w:pPr>
          </w:p>
        </w:tc>
        <w:tc>
          <w:tcPr>
            <w:tcW w:w="887" w:type="dxa"/>
            <w:vMerge w:val="continue"/>
            <w:tcBorders>
              <w:tl2br w:val="nil"/>
              <w:tr2bl w:val="nil"/>
            </w:tcBorders>
            <w:noWrap w:val="0"/>
            <w:vAlign w:val="center"/>
          </w:tcPr>
          <w:p>
            <w:pPr>
              <w:pStyle w:val="2"/>
              <w:spacing w:line="400" w:lineRule="exact"/>
              <w:jc w:val="center"/>
              <w:textAlignment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8" w:hRule="atLeast"/>
          <w:tblCellSpacing w:w="15" w:type="dxa"/>
          <w:jc w:val="center"/>
        </w:trPr>
        <w:tc>
          <w:tcPr>
            <w:tcW w:w="887" w:type="dxa"/>
            <w:vMerge w:val="restart"/>
            <w:tcBorders>
              <w:tl2br w:val="nil"/>
              <w:tr2bl w:val="nil"/>
            </w:tcBorders>
            <w:noWrap w:val="0"/>
            <w:vAlign w:val="center"/>
          </w:tcPr>
          <w:p>
            <w:pPr>
              <w:pStyle w:val="2"/>
              <w:widowControl/>
              <w:spacing w:beforeAutospacing="0" w:afterAutospacing="0" w:line="400" w:lineRule="exact"/>
              <w:ind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785" w:type="dxa"/>
            <w:vMerge w:val="restart"/>
            <w:tcBorders>
              <w:tl2br w:val="nil"/>
              <w:tr2bl w:val="nil"/>
            </w:tcBorders>
            <w:noWrap w:val="0"/>
            <w:vAlign w:val="center"/>
          </w:tcPr>
          <w:p>
            <w:pPr>
              <w:pStyle w:val="2"/>
              <w:widowControl/>
              <w:spacing w:beforeAutospacing="0" w:afterAutospacing="0" w:line="400" w:lineRule="exact"/>
              <w:ind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人员</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考核</w:t>
            </w:r>
          </w:p>
        </w:tc>
        <w:tc>
          <w:tcPr>
            <w:tcW w:w="669" w:type="dxa"/>
            <w:vMerge w:val="restart"/>
            <w:tcBorders>
              <w:tl2br w:val="nil"/>
              <w:tr2bl w:val="nil"/>
            </w:tcBorders>
            <w:noWrap w:val="0"/>
            <w:vAlign w:val="center"/>
          </w:tcPr>
          <w:p>
            <w:pPr>
              <w:pStyle w:val="2"/>
              <w:widowControl/>
              <w:spacing w:beforeAutospacing="0" w:afterAutospacing="0" w:line="400" w:lineRule="exact"/>
              <w:ind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w:t>
            </w:r>
          </w:p>
        </w:tc>
        <w:tc>
          <w:tcPr>
            <w:tcW w:w="4878" w:type="dxa"/>
            <w:gridSpan w:val="2"/>
            <w:tcBorders>
              <w:tl2br w:val="nil"/>
              <w:tr2bl w:val="nil"/>
            </w:tcBorders>
            <w:noWrap w:val="0"/>
            <w:vAlign w:val="center"/>
          </w:tcPr>
          <w:p>
            <w:pPr>
              <w:pStyle w:val="2"/>
              <w:widowControl/>
              <w:spacing w:beforeAutospacing="0" w:afterAutospacing="0" w:line="400" w:lineRule="exact"/>
              <w:ind w:firstLine="0" w:firstLineChars="0"/>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驻点人员5*8小时工作考勤，无故迟到 、早退，每人每次扣1分：无故未在岗，每人每次扣1分，扣完为止。（满分10分）</w:t>
            </w:r>
          </w:p>
        </w:tc>
        <w:tc>
          <w:tcPr>
            <w:tcW w:w="735" w:type="dxa"/>
            <w:tcBorders>
              <w:tl2br w:val="nil"/>
              <w:tr2bl w:val="nil"/>
            </w:tcBorders>
            <w:noWrap w:val="0"/>
            <w:vAlign w:val="center"/>
          </w:tcPr>
          <w:p>
            <w:pPr>
              <w:widowControl/>
              <w:spacing w:line="400" w:lineRule="exact"/>
              <w:jc w:val="left"/>
              <w:rPr>
                <w:rFonts w:hint="eastAsia" w:ascii="仿宋_GB2312" w:hAnsi="仿宋_GB2312" w:eastAsia="仿宋_GB2312" w:cs="仿宋_GB2312"/>
                <w:sz w:val="28"/>
                <w:szCs w:val="28"/>
              </w:rPr>
            </w:pPr>
          </w:p>
        </w:tc>
        <w:tc>
          <w:tcPr>
            <w:tcW w:w="887" w:type="dxa"/>
            <w:vMerge w:val="continue"/>
            <w:tcBorders>
              <w:tl2br w:val="nil"/>
              <w:tr2bl w:val="nil"/>
            </w:tcBorders>
            <w:noWrap w:val="0"/>
            <w:vAlign w:val="center"/>
          </w:tcPr>
          <w:p>
            <w:pPr>
              <w:pStyle w:val="2"/>
              <w:widowControl/>
              <w:spacing w:beforeAutospacing="0" w:afterAutospacing="0" w:line="400" w:lineRule="exact"/>
              <w:jc w:val="center"/>
              <w:textAlignment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6" w:hRule="atLeast"/>
          <w:tblCellSpacing w:w="15" w:type="dxa"/>
          <w:jc w:val="center"/>
        </w:trPr>
        <w:tc>
          <w:tcPr>
            <w:tcW w:w="887" w:type="dxa"/>
            <w:vMerge w:val="continue"/>
            <w:tcBorders>
              <w:tl2br w:val="nil"/>
              <w:tr2bl w:val="nil"/>
            </w:tcBorders>
            <w:noWrap w:val="0"/>
            <w:vAlign w:val="center"/>
          </w:tcPr>
          <w:p>
            <w:pPr>
              <w:spacing w:line="400" w:lineRule="exact"/>
              <w:jc w:val="center"/>
              <w:rPr>
                <w:rFonts w:hint="eastAsia" w:ascii="仿宋_GB2312" w:hAnsi="仿宋_GB2312" w:eastAsia="仿宋_GB2312" w:cs="仿宋_GB2312"/>
                <w:sz w:val="28"/>
                <w:szCs w:val="28"/>
              </w:rPr>
            </w:pPr>
          </w:p>
        </w:tc>
        <w:tc>
          <w:tcPr>
            <w:tcW w:w="785" w:type="dxa"/>
            <w:vMerge w:val="continue"/>
            <w:tcBorders>
              <w:tl2br w:val="nil"/>
              <w:tr2bl w:val="nil"/>
            </w:tcBorders>
            <w:noWrap w:val="0"/>
            <w:vAlign w:val="center"/>
          </w:tcPr>
          <w:p>
            <w:pPr>
              <w:spacing w:line="400" w:lineRule="exact"/>
              <w:jc w:val="center"/>
              <w:rPr>
                <w:rFonts w:hint="eastAsia" w:ascii="仿宋_GB2312" w:hAnsi="仿宋_GB2312" w:eastAsia="仿宋_GB2312" w:cs="仿宋_GB2312"/>
                <w:sz w:val="28"/>
                <w:szCs w:val="28"/>
              </w:rPr>
            </w:pPr>
          </w:p>
        </w:tc>
        <w:tc>
          <w:tcPr>
            <w:tcW w:w="669" w:type="dxa"/>
            <w:vMerge w:val="continue"/>
            <w:tcBorders>
              <w:tl2br w:val="nil"/>
              <w:tr2bl w:val="nil"/>
            </w:tcBorders>
            <w:noWrap w:val="0"/>
            <w:vAlign w:val="center"/>
          </w:tcPr>
          <w:p>
            <w:pPr>
              <w:spacing w:line="400" w:lineRule="exact"/>
              <w:jc w:val="center"/>
              <w:rPr>
                <w:rFonts w:hint="eastAsia" w:ascii="仿宋_GB2312" w:hAnsi="仿宋_GB2312" w:eastAsia="仿宋_GB2312" w:cs="仿宋_GB2312"/>
                <w:sz w:val="28"/>
                <w:szCs w:val="28"/>
              </w:rPr>
            </w:pPr>
          </w:p>
        </w:tc>
        <w:tc>
          <w:tcPr>
            <w:tcW w:w="4878" w:type="dxa"/>
            <w:gridSpan w:val="2"/>
            <w:tcBorders>
              <w:tl2br w:val="nil"/>
              <w:tr2bl w:val="nil"/>
            </w:tcBorders>
            <w:noWrap w:val="0"/>
            <w:vAlign w:val="center"/>
          </w:tcPr>
          <w:p>
            <w:pPr>
              <w:pStyle w:val="2"/>
              <w:widowControl/>
              <w:spacing w:beforeAutospacing="0" w:afterAutospacing="0" w:line="400" w:lineRule="exact"/>
              <w:ind w:firstLine="0" w:firstLineChars="0"/>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重要时期或应甲方要求，</w:t>
            </w:r>
            <w:r>
              <w:rPr>
                <w:rFonts w:hint="eastAsia" w:ascii="仿宋_GB2312" w:hAnsi="仿宋_GB2312" w:eastAsia="仿宋_GB2312" w:cs="仿宋_GB2312"/>
                <w:sz w:val="28"/>
                <w:szCs w:val="28"/>
                <w:lang w:val="en-US" w:eastAsia="zh-CN"/>
              </w:rPr>
              <w:t>驻点人员在非工作日期间也可</w:t>
            </w:r>
            <w:r>
              <w:rPr>
                <w:rFonts w:hint="eastAsia" w:ascii="仿宋_GB2312" w:hAnsi="仿宋_GB2312" w:eastAsia="仿宋_GB2312" w:cs="仿宋_GB2312"/>
                <w:sz w:val="28"/>
                <w:szCs w:val="28"/>
              </w:rPr>
              <w:t>配合保障，保证系统的正常运行，缺席一次扣1分，扣完为止。（满分10分）</w:t>
            </w:r>
          </w:p>
        </w:tc>
        <w:tc>
          <w:tcPr>
            <w:tcW w:w="735" w:type="dxa"/>
            <w:tcBorders>
              <w:tl2br w:val="nil"/>
              <w:tr2bl w:val="nil"/>
            </w:tcBorders>
            <w:noWrap w:val="0"/>
            <w:vAlign w:val="center"/>
          </w:tcPr>
          <w:p>
            <w:pPr>
              <w:widowControl/>
              <w:spacing w:line="400" w:lineRule="exact"/>
              <w:jc w:val="left"/>
              <w:rPr>
                <w:rFonts w:hint="eastAsia" w:ascii="仿宋_GB2312" w:hAnsi="仿宋_GB2312" w:eastAsia="仿宋_GB2312" w:cs="仿宋_GB2312"/>
                <w:sz w:val="28"/>
                <w:szCs w:val="28"/>
              </w:rPr>
            </w:pPr>
          </w:p>
        </w:tc>
        <w:tc>
          <w:tcPr>
            <w:tcW w:w="887" w:type="dxa"/>
            <w:vMerge w:val="continue"/>
            <w:tcBorders>
              <w:tl2br w:val="nil"/>
              <w:tr2bl w:val="nil"/>
            </w:tcBorders>
            <w:noWrap w:val="0"/>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4" w:hRule="atLeast"/>
          <w:tblCellSpacing w:w="15" w:type="dxa"/>
          <w:jc w:val="center"/>
        </w:trPr>
        <w:tc>
          <w:tcPr>
            <w:tcW w:w="887" w:type="dxa"/>
            <w:vMerge w:val="continue"/>
            <w:tcBorders>
              <w:tl2br w:val="nil"/>
              <w:tr2bl w:val="nil"/>
            </w:tcBorders>
            <w:noWrap w:val="0"/>
            <w:vAlign w:val="center"/>
          </w:tcPr>
          <w:p>
            <w:pPr>
              <w:spacing w:line="400" w:lineRule="exact"/>
              <w:jc w:val="center"/>
              <w:rPr>
                <w:rFonts w:hint="eastAsia" w:ascii="仿宋_GB2312" w:hAnsi="仿宋_GB2312" w:eastAsia="仿宋_GB2312" w:cs="仿宋_GB2312"/>
                <w:sz w:val="28"/>
                <w:szCs w:val="28"/>
              </w:rPr>
            </w:pPr>
          </w:p>
        </w:tc>
        <w:tc>
          <w:tcPr>
            <w:tcW w:w="785" w:type="dxa"/>
            <w:vMerge w:val="continue"/>
            <w:tcBorders>
              <w:tl2br w:val="nil"/>
              <w:tr2bl w:val="nil"/>
            </w:tcBorders>
            <w:noWrap w:val="0"/>
            <w:vAlign w:val="center"/>
          </w:tcPr>
          <w:p>
            <w:pPr>
              <w:spacing w:line="400" w:lineRule="exact"/>
              <w:jc w:val="center"/>
              <w:rPr>
                <w:rFonts w:hint="eastAsia" w:ascii="仿宋_GB2312" w:hAnsi="仿宋_GB2312" w:eastAsia="仿宋_GB2312" w:cs="仿宋_GB2312"/>
                <w:sz w:val="28"/>
                <w:szCs w:val="28"/>
              </w:rPr>
            </w:pPr>
          </w:p>
        </w:tc>
        <w:tc>
          <w:tcPr>
            <w:tcW w:w="669" w:type="dxa"/>
            <w:vMerge w:val="continue"/>
            <w:tcBorders>
              <w:tl2br w:val="nil"/>
              <w:tr2bl w:val="nil"/>
            </w:tcBorders>
            <w:noWrap w:val="0"/>
            <w:vAlign w:val="center"/>
          </w:tcPr>
          <w:p>
            <w:pPr>
              <w:spacing w:line="400" w:lineRule="exact"/>
              <w:jc w:val="center"/>
              <w:rPr>
                <w:rFonts w:hint="eastAsia" w:ascii="仿宋_GB2312" w:hAnsi="仿宋_GB2312" w:eastAsia="仿宋_GB2312" w:cs="仿宋_GB2312"/>
                <w:sz w:val="28"/>
                <w:szCs w:val="28"/>
              </w:rPr>
            </w:pPr>
          </w:p>
        </w:tc>
        <w:tc>
          <w:tcPr>
            <w:tcW w:w="4878" w:type="dxa"/>
            <w:gridSpan w:val="2"/>
            <w:tcBorders>
              <w:tl2br w:val="nil"/>
              <w:tr2bl w:val="nil"/>
            </w:tcBorders>
            <w:noWrap w:val="0"/>
            <w:vAlign w:val="center"/>
          </w:tcPr>
          <w:p>
            <w:pPr>
              <w:pStyle w:val="2"/>
              <w:widowControl/>
              <w:spacing w:beforeAutospacing="0" w:afterAutospacing="0" w:line="400" w:lineRule="exact"/>
              <w:ind w:firstLine="0" w:firstLineChars="0"/>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甲方对驻点人员工作情况和工作满意度打分，收到一次投诉扣一分，扣完为止。(满分10分）</w:t>
            </w:r>
          </w:p>
        </w:tc>
        <w:tc>
          <w:tcPr>
            <w:tcW w:w="735" w:type="dxa"/>
            <w:tcBorders>
              <w:tl2br w:val="nil"/>
              <w:tr2bl w:val="nil"/>
            </w:tcBorders>
            <w:noWrap w:val="0"/>
            <w:vAlign w:val="center"/>
          </w:tcPr>
          <w:p>
            <w:pPr>
              <w:widowControl/>
              <w:spacing w:line="400" w:lineRule="exact"/>
              <w:jc w:val="left"/>
              <w:rPr>
                <w:rFonts w:hint="eastAsia" w:ascii="仿宋_GB2312" w:hAnsi="仿宋_GB2312" w:eastAsia="仿宋_GB2312" w:cs="仿宋_GB2312"/>
                <w:sz w:val="28"/>
                <w:szCs w:val="28"/>
              </w:rPr>
            </w:pPr>
          </w:p>
        </w:tc>
        <w:tc>
          <w:tcPr>
            <w:tcW w:w="887" w:type="dxa"/>
            <w:vMerge w:val="continue"/>
            <w:tcBorders>
              <w:tl2br w:val="nil"/>
              <w:tr2bl w:val="nil"/>
            </w:tcBorders>
            <w:noWrap w:val="0"/>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0" w:hRule="atLeast"/>
          <w:tblCellSpacing w:w="15" w:type="dxa"/>
          <w:jc w:val="center"/>
        </w:trPr>
        <w:tc>
          <w:tcPr>
            <w:tcW w:w="887" w:type="dxa"/>
            <w:tcBorders>
              <w:tl2br w:val="nil"/>
              <w:tr2bl w:val="nil"/>
            </w:tcBorders>
            <w:noWrap w:val="0"/>
            <w:vAlign w:val="center"/>
          </w:tcPr>
          <w:p>
            <w:pPr>
              <w:pStyle w:val="2"/>
              <w:widowControl/>
              <w:spacing w:beforeAutospacing="0" w:afterAutospacing="0" w:line="400" w:lineRule="exact"/>
              <w:ind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785" w:type="dxa"/>
            <w:tcBorders>
              <w:tl2br w:val="nil"/>
              <w:tr2bl w:val="nil"/>
            </w:tcBorders>
            <w:noWrap w:val="0"/>
            <w:vAlign w:val="center"/>
          </w:tcPr>
          <w:p>
            <w:pPr>
              <w:pStyle w:val="2"/>
              <w:widowControl/>
              <w:spacing w:beforeAutospacing="0" w:afterAutospacing="0" w:line="400" w:lineRule="exact"/>
              <w:ind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故障响应与解决时间</w:t>
            </w:r>
          </w:p>
        </w:tc>
        <w:tc>
          <w:tcPr>
            <w:tcW w:w="669" w:type="dxa"/>
            <w:tcBorders>
              <w:tl2br w:val="nil"/>
              <w:tr2bl w:val="nil"/>
            </w:tcBorders>
            <w:noWrap w:val="0"/>
            <w:vAlign w:val="center"/>
          </w:tcPr>
          <w:p>
            <w:pPr>
              <w:pStyle w:val="2"/>
              <w:widowControl/>
              <w:spacing w:beforeAutospacing="0" w:afterAutospacing="0" w:line="400" w:lineRule="exact"/>
              <w:ind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4878" w:type="dxa"/>
            <w:gridSpan w:val="2"/>
            <w:tcBorders>
              <w:tl2br w:val="nil"/>
              <w:tr2bl w:val="nil"/>
            </w:tcBorders>
            <w:noWrap w:val="0"/>
            <w:vAlign w:val="center"/>
          </w:tcPr>
          <w:p>
            <w:pPr>
              <w:pStyle w:val="2"/>
              <w:widowControl/>
              <w:spacing w:beforeAutospacing="0" w:afterAutospacing="0" w:line="400" w:lineRule="exact"/>
              <w:ind w:firstLine="0" w:firstLineChars="0"/>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每次发生故障响应与解决时间超过合同规定。</w:t>
            </w:r>
            <w:r>
              <w:rPr>
                <w:rFonts w:hint="eastAsia" w:ascii="仿宋_GB2312" w:hAnsi="仿宋_GB2312" w:eastAsia="仿宋_GB2312" w:cs="仿宋_GB2312"/>
                <w:sz w:val="28"/>
                <w:szCs w:val="28"/>
                <w:lang w:val="en-US" w:eastAsia="zh-CN"/>
              </w:rPr>
              <w:t>紧急</w:t>
            </w:r>
            <w:r>
              <w:rPr>
                <w:rFonts w:hint="eastAsia" w:ascii="仿宋_GB2312" w:hAnsi="仿宋_GB2312" w:eastAsia="仿宋_GB2312" w:cs="仿宋_GB2312"/>
                <w:sz w:val="28"/>
                <w:szCs w:val="28"/>
              </w:rPr>
              <w:t>故障扣1分，</w:t>
            </w:r>
            <w:r>
              <w:rPr>
                <w:rFonts w:hint="eastAsia" w:ascii="仿宋_GB2312" w:hAnsi="仿宋_GB2312" w:eastAsia="仿宋_GB2312" w:cs="仿宋_GB2312"/>
                <w:sz w:val="28"/>
                <w:szCs w:val="28"/>
                <w:lang w:val="en-US" w:eastAsia="zh-CN"/>
              </w:rPr>
              <w:t>一般</w:t>
            </w:r>
            <w:r>
              <w:rPr>
                <w:rFonts w:hint="eastAsia" w:ascii="仿宋_GB2312" w:hAnsi="仿宋_GB2312" w:eastAsia="仿宋_GB2312" w:cs="仿宋_GB2312"/>
                <w:sz w:val="28"/>
                <w:szCs w:val="28"/>
              </w:rPr>
              <w:t>故障扣0.</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分，</w:t>
            </w:r>
            <w:r>
              <w:rPr>
                <w:rFonts w:hint="eastAsia" w:ascii="仿宋_GB2312" w:hAnsi="仿宋_GB2312" w:eastAsia="仿宋_GB2312" w:cs="仿宋_GB2312"/>
                <w:sz w:val="28"/>
                <w:szCs w:val="28"/>
                <w:lang w:val="en-US" w:eastAsia="zh-CN"/>
              </w:rPr>
              <w:t>轻微</w:t>
            </w:r>
            <w:r>
              <w:rPr>
                <w:rFonts w:hint="eastAsia" w:ascii="仿宋_GB2312" w:hAnsi="仿宋_GB2312" w:eastAsia="仿宋_GB2312" w:cs="仿宋_GB2312"/>
                <w:sz w:val="28"/>
                <w:szCs w:val="28"/>
              </w:rPr>
              <w:t>故障扣0.2分。扣完为止。</w:t>
            </w:r>
          </w:p>
        </w:tc>
        <w:tc>
          <w:tcPr>
            <w:tcW w:w="735" w:type="dxa"/>
            <w:tcBorders>
              <w:tl2br w:val="nil"/>
              <w:tr2bl w:val="nil"/>
            </w:tcBorders>
            <w:noWrap w:val="0"/>
            <w:vAlign w:val="center"/>
          </w:tcPr>
          <w:p>
            <w:pPr>
              <w:widowControl/>
              <w:spacing w:line="400" w:lineRule="exact"/>
              <w:jc w:val="left"/>
              <w:rPr>
                <w:rFonts w:hint="eastAsia" w:ascii="仿宋_GB2312" w:hAnsi="仿宋_GB2312" w:eastAsia="仿宋_GB2312" w:cs="仿宋_GB2312"/>
                <w:sz w:val="28"/>
                <w:szCs w:val="28"/>
              </w:rPr>
            </w:pPr>
          </w:p>
        </w:tc>
        <w:tc>
          <w:tcPr>
            <w:tcW w:w="887" w:type="dxa"/>
            <w:vMerge w:val="continue"/>
            <w:tcBorders>
              <w:tl2br w:val="nil"/>
              <w:tr2bl w:val="nil"/>
            </w:tcBorders>
            <w:noWrap w:val="0"/>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0" w:hRule="atLeast"/>
          <w:tblCellSpacing w:w="15" w:type="dxa"/>
          <w:jc w:val="center"/>
        </w:trPr>
        <w:tc>
          <w:tcPr>
            <w:tcW w:w="887" w:type="dxa"/>
            <w:tcBorders>
              <w:tl2br w:val="nil"/>
              <w:tr2bl w:val="nil"/>
            </w:tcBorders>
            <w:noWrap w:val="0"/>
            <w:vAlign w:val="center"/>
          </w:tcPr>
          <w:p>
            <w:pPr>
              <w:pStyle w:val="2"/>
              <w:widowControl/>
              <w:spacing w:beforeAutospacing="0" w:afterAutospacing="0" w:line="400" w:lineRule="exact"/>
              <w:ind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785" w:type="dxa"/>
            <w:tcBorders>
              <w:tl2br w:val="nil"/>
              <w:tr2bl w:val="nil"/>
            </w:tcBorders>
            <w:noWrap w:val="0"/>
            <w:vAlign w:val="center"/>
          </w:tcPr>
          <w:p>
            <w:pPr>
              <w:pStyle w:val="2"/>
              <w:widowControl/>
              <w:spacing w:beforeAutospacing="0" w:afterAutospacing="0" w:line="400" w:lineRule="exact"/>
              <w:ind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故障</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处理</w:t>
            </w:r>
          </w:p>
        </w:tc>
        <w:tc>
          <w:tcPr>
            <w:tcW w:w="669" w:type="dxa"/>
            <w:tcBorders>
              <w:tl2br w:val="nil"/>
              <w:tr2bl w:val="nil"/>
            </w:tcBorders>
            <w:noWrap w:val="0"/>
            <w:vAlign w:val="center"/>
          </w:tcPr>
          <w:p>
            <w:pPr>
              <w:pStyle w:val="2"/>
              <w:widowControl/>
              <w:spacing w:beforeAutospacing="0" w:afterAutospacing="0" w:line="400" w:lineRule="exact"/>
              <w:ind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4878" w:type="dxa"/>
            <w:gridSpan w:val="2"/>
            <w:tcBorders>
              <w:tl2br w:val="nil"/>
              <w:tr2bl w:val="nil"/>
            </w:tcBorders>
            <w:noWrap w:val="0"/>
            <w:vAlign w:val="center"/>
          </w:tcPr>
          <w:p>
            <w:pPr>
              <w:pStyle w:val="2"/>
              <w:widowControl/>
              <w:spacing w:beforeAutospacing="0" w:afterAutospacing="0" w:line="400" w:lineRule="exact"/>
              <w:ind w:firstLine="0" w:firstLineChars="0"/>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日常工作记录归档管理，故障发生后应及时整理故障情况、解决方案以及解决情况，归档并及时书面反馈。（共10分）</w:t>
            </w:r>
          </w:p>
        </w:tc>
        <w:tc>
          <w:tcPr>
            <w:tcW w:w="735" w:type="dxa"/>
            <w:tcBorders>
              <w:tl2br w:val="nil"/>
              <w:tr2bl w:val="nil"/>
            </w:tcBorders>
            <w:noWrap w:val="0"/>
            <w:vAlign w:val="center"/>
          </w:tcPr>
          <w:p>
            <w:pPr>
              <w:widowControl/>
              <w:spacing w:line="400" w:lineRule="exact"/>
              <w:jc w:val="left"/>
              <w:rPr>
                <w:rFonts w:hint="eastAsia" w:ascii="仿宋_GB2312" w:hAnsi="仿宋_GB2312" w:eastAsia="仿宋_GB2312" w:cs="仿宋_GB2312"/>
                <w:sz w:val="28"/>
                <w:szCs w:val="28"/>
              </w:rPr>
            </w:pPr>
          </w:p>
        </w:tc>
        <w:tc>
          <w:tcPr>
            <w:tcW w:w="887" w:type="dxa"/>
            <w:vMerge w:val="continue"/>
            <w:tcBorders>
              <w:tl2br w:val="nil"/>
              <w:tr2bl w:val="nil"/>
            </w:tcBorders>
            <w:noWrap w:val="0"/>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0" w:hRule="atLeast"/>
          <w:tblCellSpacing w:w="15" w:type="dxa"/>
          <w:jc w:val="center"/>
        </w:trPr>
        <w:tc>
          <w:tcPr>
            <w:tcW w:w="887" w:type="dxa"/>
            <w:tcBorders>
              <w:tl2br w:val="nil"/>
              <w:tr2bl w:val="nil"/>
            </w:tcBorders>
            <w:noWrap w:val="0"/>
            <w:vAlign w:val="center"/>
          </w:tcPr>
          <w:p>
            <w:pPr>
              <w:pStyle w:val="2"/>
              <w:widowControl/>
              <w:spacing w:beforeAutospacing="0" w:afterAutospacing="0" w:line="400" w:lineRule="exact"/>
              <w:ind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785" w:type="dxa"/>
            <w:tcBorders>
              <w:tl2br w:val="nil"/>
              <w:tr2bl w:val="nil"/>
            </w:tcBorders>
            <w:noWrap w:val="0"/>
            <w:vAlign w:val="center"/>
          </w:tcPr>
          <w:p>
            <w:pPr>
              <w:pStyle w:val="2"/>
              <w:widowControl/>
              <w:spacing w:beforeAutospacing="0" w:afterAutospacing="0" w:line="400" w:lineRule="exact"/>
              <w:ind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支持</w:t>
            </w:r>
          </w:p>
        </w:tc>
        <w:tc>
          <w:tcPr>
            <w:tcW w:w="669" w:type="dxa"/>
            <w:tcBorders>
              <w:tl2br w:val="nil"/>
              <w:tr2bl w:val="nil"/>
            </w:tcBorders>
            <w:noWrap w:val="0"/>
            <w:vAlign w:val="center"/>
          </w:tcPr>
          <w:p>
            <w:pPr>
              <w:pStyle w:val="2"/>
              <w:widowControl/>
              <w:spacing w:beforeAutospacing="0" w:afterAutospacing="0" w:line="400" w:lineRule="exact"/>
              <w:ind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4878" w:type="dxa"/>
            <w:gridSpan w:val="2"/>
            <w:tcBorders>
              <w:tl2br w:val="nil"/>
              <w:tr2bl w:val="nil"/>
            </w:tcBorders>
            <w:noWrap w:val="0"/>
            <w:vAlign w:val="center"/>
          </w:tcPr>
          <w:p>
            <w:pPr>
              <w:pStyle w:val="2"/>
              <w:widowControl/>
              <w:spacing w:beforeAutospacing="0" w:afterAutospacing="0" w:line="400" w:lineRule="exact"/>
              <w:ind w:firstLine="0" w:firstLineChars="0"/>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对服务内遇到的技术问题提供24小时技术支持，包括电话技术支持、远程技术支持，若以上方式无法解决时，提供现场技术支持。支持内容包括系统配置、问题处理等。</w:t>
            </w:r>
          </w:p>
        </w:tc>
        <w:tc>
          <w:tcPr>
            <w:tcW w:w="735" w:type="dxa"/>
            <w:tcBorders>
              <w:tl2br w:val="nil"/>
              <w:tr2bl w:val="nil"/>
            </w:tcBorders>
            <w:noWrap w:val="0"/>
            <w:vAlign w:val="center"/>
          </w:tcPr>
          <w:p>
            <w:pPr>
              <w:widowControl/>
              <w:spacing w:line="400" w:lineRule="exact"/>
              <w:jc w:val="left"/>
              <w:rPr>
                <w:rFonts w:hint="eastAsia" w:ascii="仿宋_GB2312" w:hAnsi="仿宋_GB2312" w:eastAsia="仿宋_GB2312" w:cs="仿宋_GB2312"/>
                <w:sz w:val="28"/>
                <w:szCs w:val="28"/>
              </w:rPr>
            </w:pPr>
          </w:p>
        </w:tc>
        <w:tc>
          <w:tcPr>
            <w:tcW w:w="887" w:type="dxa"/>
            <w:vMerge w:val="continue"/>
            <w:tcBorders>
              <w:tl2br w:val="nil"/>
              <w:tr2bl w:val="nil"/>
            </w:tcBorders>
            <w:noWrap w:val="0"/>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0" w:hRule="atLeast"/>
          <w:tblCellSpacing w:w="15" w:type="dxa"/>
          <w:jc w:val="center"/>
        </w:trPr>
        <w:tc>
          <w:tcPr>
            <w:tcW w:w="887" w:type="dxa"/>
            <w:tcBorders>
              <w:tl2br w:val="nil"/>
              <w:tr2bl w:val="nil"/>
            </w:tcBorders>
            <w:noWrap w:val="0"/>
            <w:vAlign w:val="center"/>
          </w:tcPr>
          <w:p>
            <w:pPr>
              <w:pStyle w:val="2"/>
              <w:widowControl/>
              <w:spacing w:beforeAutospacing="0" w:afterAutospacing="0" w:line="400" w:lineRule="exact"/>
              <w:ind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785" w:type="dxa"/>
            <w:tcBorders>
              <w:tl2br w:val="nil"/>
              <w:tr2bl w:val="nil"/>
            </w:tcBorders>
            <w:noWrap w:val="0"/>
            <w:vAlign w:val="center"/>
          </w:tcPr>
          <w:p>
            <w:pPr>
              <w:pStyle w:val="2"/>
              <w:widowControl/>
              <w:spacing w:beforeAutospacing="0" w:afterAutospacing="0" w:line="400" w:lineRule="exact"/>
              <w:ind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需求</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变更</w:t>
            </w:r>
          </w:p>
        </w:tc>
        <w:tc>
          <w:tcPr>
            <w:tcW w:w="669" w:type="dxa"/>
            <w:tcBorders>
              <w:tl2br w:val="nil"/>
              <w:tr2bl w:val="nil"/>
            </w:tcBorders>
            <w:noWrap w:val="0"/>
            <w:vAlign w:val="center"/>
          </w:tcPr>
          <w:p>
            <w:pPr>
              <w:pStyle w:val="2"/>
              <w:widowControl/>
              <w:spacing w:beforeAutospacing="0" w:afterAutospacing="0" w:line="400" w:lineRule="exact"/>
              <w:ind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4878" w:type="dxa"/>
            <w:gridSpan w:val="2"/>
            <w:tcBorders>
              <w:tl2br w:val="nil"/>
              <w:tr2bl w:val="nil"/>
            </w:tcBorders>
            <w:noWrap w:val="0"/>
            <w:vAlign w:val="center"/>
          </w:tcPr>
          <w:p>
            <w:pPr>
              <w:pStyle w:val="2"/>
              <w:widowControl/>
              <w:spacing w:beforeAutospacing="0" w:afterAutospacing="0" w:line="400" w:lineRule="exact"/>
              <w:ind w:firstLine="0" w:firstLineChars="0"/>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接收标准服务内的需求变更工单处理。接收到用户标准服务内的需求变更申请后，在24小时内响应，并给予处理反馈意见及处理办法。</w:t>
            </w:r>
          </w:p>
        </w:tc>
        <w:tc>
          <w:tcPr>
            <w:tcW w:w="735" w:type="dxa"/>
            <w:tcBorders>
              <w:tl2br w:val="nil"/>
              <w:tr2bl w:val="nil"/>
            </w:tcBorders>
            <w:noWrap w:val="0"/>
            <w:vAlign w:val="center"/>
          </w:tcPr>
          <w:p>
            <w:pPr>
              <w:widowControl/>
              <w:spacing w:line="400" w:lineRule="exact"/>
              <w:jc w:val="left"/>
              <w:rPr>
                <w:rFonts w:hint="eastAsia" w:ascii="仿宋_GB2312" w:hAnsi="仿宋_GB2312" w:eastAsia="仿宋_GB2312" w:cs="仿宋_GB2312"/>
                <w:sz w:val="28"/>
                <w:szCs w:val="28"/>
              </w:rPr>
            </w:pPr>
          </w:p>
        </w:tc>
        <w:tc>
          <w:tcPr>
            <w:tcW w:w="887" w:type="dxa"/>
            <w:vMerge w:val="continue"/>
            <w:tcBorders>
              <w:tl2br w:val="nil"/>
              <w:tr2bl w:val="nil"/>
            </w:tcBorders>
            <w:noWrap w:val="0"/>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blCellSpacing w:w="15" w:type="dxa"/>
          <w:jc w:val="center"/>
        </w:trPr>
        <w:tc>
          <w:tcPr>
            <w:tcW w:w="887" w:type="dxa"/>
            <w:tcBorders>
              <w:tl2br w:val="nil"/>
              <w:tr2bl w:val="nil"/>
            </w:tcBorders>
            <w:noWrap w:val="0"/>
            <w:vAlign w:val="center"/>
          </w:tcPr>
          <w:p>
            <w:pPr>
              <w:pStyle w:val="2"/>
              <w:widowControl/>
              <w:spacing w:beforeAutospacing="0" w:afterAutospacing="0" w:line="400" w:lineRule="exact"/>
              <w:ind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合计</w:t>
            </w:r>
          </w:p>
        </w:tc>
        <w:tc>
          <w:tcPr>
            <w:tcW w:w="785" w:type="dxa"/>
            <w:tcBorders>
              <w:tl2br w:val="nil"/>
              <w:tr2bl w:val="nil"/>
            </w:tcBorders>
            <w:noWrap w:val="0"/>
            <w:vAlign w:val="center"/>
          </w:tcPr>
          <w:p>
            <w:pPr>
              <w:pStyle w:val="2"/>
              <w:widowControl/>
              <w:spacing w:beforeAutospacing="0" w:afterAutospacing="0" w:line="400" w:lineRule="exact"/>
              <w:ind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w:t>
            </w:r>
          </w:p>
        </w:tc>
        <w:tc>
          <w:tcPr>
            <w:tcW w:w="669" w:type="dxa"/>
            <w:tcBorders>
              <w:tl2br w:val="nil"/>
              <w:tr2bl w:val="nil"/>
            </w:tcBorders>
            <w:noWrap w:val="0"/>
            <w:vAlign w:val="center"/>
          </w:tcPr>
          <w:p>
            <w:pPr>
              <w:pStyle w:val="2"/>
              <w:widowControl/>
              <w:spacing w:beforeAutospacing="0" w:afterAutospacing="0" w:line="400" w:lineRule="exact"/>
              <w:ind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w:t>
            </w:r>
          </w:p>
        </w:tc>
        <w:tc>
          <w:tcPr>
            <w:tcW w:w="4878" w:type="dxa"/>
            <w:gridSpan w:val="2"/>
            <w:tcBorders>
              <w:tl2br w:val="nil"/>
              <w:tr2bl w:val="nil"/>
            </w:tcBorders>
            <w:noWrap w:val="0"/>
            <w:vAlign w:val="center"/>
          </w:tcPr>
          <w:p>
            <w:pPr>
              <w:widowControl/>
              <w:spacing w:line="400" w:lineRule="exact"/>
              <w:jc w:val="left"/>
              <w:rPr>
                <w:rFonts w:hint="eastAsia" w:ascii="仿宋_GB2312" w:hAnsi="仿宋_GB2312" w:eastAsia="仿宋_GB2312" w:cs="仿宋_GB2312"/>
                <w:sz w:val="28"/>
                <w:szCs w:val="28"/>
              </w:rPr>
            </w:pPr>
          </w:p>
        </w:tc>
        <w:tc>
          <w:tcPr>
            <w:tcW w:w="735" w:type="dxa"/>
            <w:tcBorders>
              <w:tl2br w:val="nil"/>
              <w:tr2bl w:val="nil"/>
            </w:tcBorders>
            <w:noWrap w:val="0"/>
            <w:vAlign w:val="center"/>
          </w:tcPr>
          <w:p>
            <w:pPr>
              <w:widowControl/>
              <w:spacing w:line="400" w:lineRule="exact"/>
              <w:jc w:val="left"/>
              <w:rPr>
                <w:rFonts w:hint="eastAsia" w:ascii="仿宋_GB2312" w:hAnsi="仿宋_GB2312" w:eastAsia="仿宋_GB2312" w:cs="仿宋_GB2312"/>
                <w:sz w:val="28"/>
                <w:szCs w:val="28"/>
              </w:rPr>
            </w:pPr>
          </w:p>
        </w:tc>
        <w:tc>
          <w:tcPr>
            <w:tcW w:w="887" w:type="dxa"/>
            <w:vMerge w:val="continue"/>
            <w:tcBorders>
              <w:tl2br w:val="nil"/>
              <w:tr2bl w:val="nil"/>
            </w:tcBorders>
            <w:noWrap w:val="0"/>
            <w:vAlign w:val="center"/>
          </w:tcPr>
          <w:p>
            <w:pPr>
              <w:widowControl/>
              <w:spacing w:line="40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7" w:hRule="atLeast"/>
          <w:tblCellSpacing w:w="15" w:type="dxa"/>
          <w:jc w:val="center"/>
        </w:trPr>
        <w:tc>
          <w:tcPr>
            <w:tcW w:w="8991" w:type="dxa"/>
            <w:gridSpan w:val="7"/>
            <w:tcBorders>
              <w:tl2br w:val="nil"/>
              <w:tr2bl w:val="nil"/>
            </w:tcBorders>
            <w:noWrap w:val="0"/>
            <w:vAlign w:val="center"/>
          </w:tcPr>
          <w:p>
            <w:pPr>
              <w:pStyle w:val="2"/>
              <w:widowControl/>
              <w:spacing w:beforeAutospacing="0" w:afterAutospacing="0" w:line="400" w:lineRule="exact"/>
              <w:ind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双方项目管理人员意见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44" w:hRule="atLeast"/>
          <w:tblCellSpacing w:w="15" w:type="dxa"/>
          <w:jc w:val="center"/>
        </w:trPr>
        <w:tc>
          <w:tcPr>
            <w:tcW w:w="3463" w:type="dxa"/>
            <w:gridSpan w:val="4"/>
            <w:tcBorders>
              <w:tl2br w:val="nil"/>
              <w:tr2bl w:val="nil"/>
            </w:tcBorders>
            <w:noWrap w:val="0"/>
            <w:vAlign w:val="center"/>
          </w:tcPr>
          <w:p>
            <w:pPr>
              <w:pStyle w:val="2"/>
              <w:widowControl/>
              <w:spacing w:beforeAutospacing="0" w:afterAutospacing="0" w:line="400" w:lineRule="exact"/>
              <w:jc w:val="both"/>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w:t>
            </w:r>
          </w:p>
        </w:tc>
        <w:tc>
          <w:tcPr>
            <w:tcW w:w="5498" w:type="dxa"/>
            <w:gridSpan w:val="3"/>
            <w:tcBorders>
              <w:tl2br w:val="nil"/>
              <w:tr2bl w:val="nil"/>
            </w:tcBorders>
            <w:noWrap w:val="0"/>
            <w:vAlign w:val="center"/>
          </w:tcPr>
          <w:p>
            <w:pPr>
              <w:pStyle w:val="2"/>
              <w:widowControl/>
              <w:spacing w:beforeAutospacing="0" w:afterAutospacing="0" w:line="400" w:lineRule="exact"/>
              <w:jc w:val="both"/>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w:t>
            </w:r>
          </w:p>
        </w:tc>
      </w:tr>
    </w:tbl>
    <w:p>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C96708"/>
    <w:multiLevelType w:val="multilevel"/>
    <w:tmpl w:val="2CC9670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456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paragraph" w:styleId="6">
    <w:name w:val="No Spacing"/>
    <w:qFormat/>
    <w:uiPriority w:val="1"/>
    <w:pPr>
      <w:widowControl w:val="0"/>
      <w:spacing w:before="100" w:beforeAutospacing="1" w:after="100" w:afterAutospacing="1" w:line="360" w:lineRule="auto"/>
      <w:jc w:val="both"/>
    </w:pPr>
    <w:rPr>
      <w:rFonts w:ascii="宋体" w:eastAsia="宋体" w:hAnsiTheme="minorHAnsi" w:cstheme="minorBidi"/>
      <w:kern w:val="2"/>
      <w:sz w:val="24"/>
      <w:szCs w:val="22"/>
      <w:lang w:val="en-US" w:eastAsia="zh-CN" w:bidi="ar-SA"/>
    </w:rPr>
  </w:style>
  <w:style w:type="paragraph" w:styleId="7">
    <w:name w:val="List Paragraph"/>
    <w:basedOn w:val="1"/>
    <w:qFormat/>
    <w:uiPriority w:val="34"/>
    <w:pPr>
      <w:ind w:firstLine="420" w:firstLineChars="200"/>
    </w:pPr>
  </w:style>
  <w:style w:type="table" w:customStyle="1" w:styleId="8">
    <w:name w:val="网格型1"/>
    <w:basedOn w:val="3"/>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2024-09-04T03:16:23Z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