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9" w:name="_GoBack"/>
      <w:bookmarkEnd w:id="9"/>
      <w:r>
        <w:rPr>
          <w:rFonts w:hint="eastAsia" w:ascii="方正小标宋简体" w:hAnsi="方正小标宋简体" w:eastAsia="方正小标宋简体" w:cs="方正小标宋简体"/>
          <w:sz w:val="44"/>
          <w:szCs w:val="44"/>
        </w:rPr>
        <w:t>福建省水利数据中心运维保障服务项目</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服务内容及要求</w:t>
      </w:r>
    </w:p>
    <w:p>
      <w:pPr>
        <w:spacing w:line="560" w:lineRule="exact"/>
        <w:jc w:val="center"/>
        <w:rPr>
          <w:rFonts w:hint="eastAsia" w:ascii="黑体" w:hAnsi="黑体" w:eastAsia="黑体"/>
          <w:b/>
          <w:sz w:val="44"/>
          <w:szCs w:val="44"/>
        </w:rPr>
      </w:pPr>
    </w:p>
    <w:p>
      <w:pPr>
        <w:spacing w:line="520" w:lineRule="exact"/>
        <w:ind w:firstLine="640" w:firstLineChars="200"/>
        <w:rPr>
          <w:rFonts w:hint="eastAsia" w:ascii="黑体" w:hAnsi="黑体" w:eastAsia="黑体"/>
          <w:b/>
          <w:sz w:val="44"/>
          <w:szCs w:val="44"/>
        </w:rPr>
      </w:pPr>
      <w:r>
        <w:rPr>
          <w:rFonts w:hint="eastAsia" w:ascii="仿宋_GB2312" w:hAnsi="仿宋_GB2312" w:eastAsia="仿宋_GB2312" w:cs="仿宋_GB2312"/>
          <w:kern w:val="0"/>
          <w:sz w:val="32"/>
          <w:szCs w:val="32"/>
        </w:rPr>
        <w:t>为全面推动水利数据的汇聚、治理、共享与开放，持续保障福建省水利数据中心系统的稳定运行，现采购福建省水利数据中心运维保障服务项目，服务需求及要求如下：</w:t>
      </w:r>
    </w:p>
    <w:p>
      <w:pPr>
        <w:pStyle w:val="2"/>
        <w:rPr>
          <w:rFonts w:hint="eastAsia"/>
        </w:rPr>
      </w:pPr>
      <w:r>
        <w:rPr>
          <w:rFonts w:hint="eastAsia"/>
        </w:rPr>
        <w:t>一、服务内容及要求</w:t>
      </w:r>
    </w:p>
    <w:p>
      <w:pPr>
        <w:spacing w:line="520" w:lineRule="exact"/>
        <w:ind w:firstLine="640" w:firstLineChars="200"/>
      </w:pPr>
      <w:r>
        <w:rPr>
          <w:rFonts w:hint="eastAsia" w:ascii="仿宋_GB2312" w:hAnsi="仿宋_GB2312" w:eastAsia="仿宋_GB2312"/>
          <w:sz w:val="32"/>
          <w:szCs w:val="32"/>
        </w:rPr>
        <w:t>为福建省水利数据中心系统提供运行维护服务，实现该系统的安全、连续、可靠、有效运行，以及提供灵活的公共数据运营服务，加快推进水利厅各级各部门公共数据全量汇聚、共享应用，促进数据要素高效流通。</w:t>
      </w:r>
      <w:r>
        <w:rPr>
          <w:rFonts w:hint="eastAsia" w:ascii="仿宋_GB2312" w:hAnsi="仿宋_GB2312" w:eastAsia="仿宋_GB2312" w:cs="仿宋_GB2312"/>
          <w:kern w:val="0"/>
          <w:sz w:val="32"/>
          <w:szCs w:val="32"/>
        </w:rPr>
        <w:t>具体要求如下：</w:t>
      </w:r>
    </w:p>
    <w:p>
      <w:pPr>
        <w:pStyle w:val="3"/>
        <w:rPr>
          <w:rFonts w:hint="eastAsia"/>
        </w:rPr>
      </w:pPr>
      <w:r>
        <w:rPr>
          <w:rFonts w:hint="eastAsia"/>
        </w:rPr>
        <w:t>日常运维服务要求</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日常运维服务内容包括系统巡检、汇聚任务巡检、数据库日常运维、故障处置、安全加固、重要时期运维保障、国产化环境运维服务。服务对象清单如下：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44"/>
        <w:gridCol w:w="2136"/>
        <w:gridCol w:w="1032"/>
        <w:gridCol w:w="70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644" w:type="dxa"/>
            <w:shd w:val="clear" w:color="auto" w:fill="auto"/>
            <w:noWrap/>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设备名称</w:t>
            </w:r>
          </w:p>
        </w:tc>
        <w:tc>
          <w:tcPr>
            <w:tcW w:w="0" w:type="auto"/>
            <w:shd w:val="clear" w:color="auto" w:fill="auto"/>
            <w:noWrap/>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型号/配置</w:t>
            </w:r>
          </w:p>
        </w:tc>
        <w:tc>
          <w:tcPr>
            <w:tcW w:w="1032" w:type="dxa"/>
            <w:shd w:val="clear" w:color="auto" w:fill="auto"/>
            <w:noWrap/>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709" w:type="dxa"/>
            <w:shd w:val="clear" w:color="auto" w:fill="auto"/>
            <w:noWrap/>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单位</w:t>
            </w:r>
          </w:p>
        </w:tc>
        <w:tc>
          <w:tcPr>
            <w:tcW w:w="1071" w:type="dxa"/>
            <w:shd w:val="clear" w:color="auto" w:fill="auto"/>
            <w:noWrap/>
            <w:vAlign w:val="center"/>
          </w:tcPr>
          <w:p>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福建省水利数据中心建设项目（一期）系统功能模块：</w:t>
            </w:r>
            <w:bookmarkStart w:id="0" w:name="OLE_LINK42"/>
            <w:r>
              <w:rPr>
                <w:rFonts w:hint="eastAsia" w:ascii="宋体" w:hAnsi="宋体" w:eastAsia="宋体" w:cs="宋体"/>
                <w:color w:val="000000"/>
                <w:kern w:val="0"/>
                <w:sz w:val="24"/>
                <w:szCs w:val="24"/>
              </w:rPr>
              <w:t>数据中心门户、数据超市、资源目录、数据接入、数据共享</w:t>
            </w:r>
            <w:bookmarkEnd w:id="0"/>
            <w:r>
              <w:rPr>
                <w:rFonts w:hint="eastAsia" w:ascii="宋体" w:hAnsi="宋体" w:eastAsia="宋体" w:cs="宋体"/>
                <w:color w:val="000000"/>
                <w:kern w:val="0"/>
                <w:sz w:val="24"/>
                <w:szCs w:val="24"/>
              </w:rPr>
              <w:t>等。</w:t>
            </w:r>
          </w:p>
        </w:tc>
        <w:tc>
          <w:tcPr>
            <w:tcW w:w="0" w:type="auto"/>
            <w:shd w:val="clear" w:color="auto" w:fill="auto"/>
            <w:noWrap/>
            <w:vAlign w:val="center"/>
          </w:tcPr>
          <w:p>
            <w:pPr>
              <w:widowControl/>
              <w:spacing w:line="360" w:lineRule="auto"/>
              <w:jc w:val="center"/>
              <w:rPr>
                <w:rFonts w:hint="eastAsia" w:ascii="宋体" w:hAnsi="宋体" w:eastAsia="宋体"/>
                <w:color w:val="000000"/>
                <w:kern w:val="0"/>
                <w:sz w:val="24"/>
                <w:szCs w:val="24"/>
              </w:rPr>
            </w:pPr>
            <w:r>
              <w:rPr>
                <w:rFonts w:hint="eastAsia" w:ascii="宋体" w:hAnsi="宋体" w:eastAsia="宋体" w:cs="宋体"/>
                <w:color w:val="000000"/>
                <w:kern w:val="0"/>
                <w:sz w:val="24"/>
                <w:szCs w:val="24"/>
              </w:rPr>
              <w:t>定制</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09" w:type="dxa"/>
            <w:shd w:val="clear" w:color="auto" w:fill="auto"/>
            <w:noWrap/>
            <w:vAlign w:val="center"/>
          </w:tcPr>
          <w:p>
            <w:pPr>
              <w:widowControl/>
              <w:spacing w:line="360" w:lineRule="auto"/>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套</w:t>
            </w:r>
          </w:p>
        </w:tc>
        <w:tc>
          <w:tcPr>
            <w:tcW w:w="1071" w:type="dxa"/>
            <w:shd w:val="clear" w:color="auto" w:fill="auto"/>
            <w:noWrap/>
            <w:vAlign w:val="center"/>
          </w:tcPr>
          <w:p>
            <w:pPr>
              <w:widowControl/>
              <w:spacing w:line="360" w:lineRule="auto"/>
              <w:jc w:val="right"/>
              <w:rPr>
                <w:rFonts w:hint="eastAsia" w:ascii="宋体" w:hAnsi="宋体" w:eastAsia="宋体"/>
                <w:color w:val="000000"/>
                <w:kern w:val="0"/>
                <w:sz w:val="24"/>
                <w:szCs w:val="24"/>
              </w:rPr>
            </w:pPr>
            <w:r>
              <w:rPr>
                <w:rFonts w:hint="eastAsia" w:ascii="宋体" w:hAnsi="宋体" w:eastAsia="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DELL数据交换服务器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restart"/>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物理服务器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DELL数据库服务器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DELL雷达图服务器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R930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DELL主节点服务器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R930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DELL主节点服务器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R930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DELL计算节点服务器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DELL计算节点服务器</w:t>
            </w:r>
          </w:p>
        </w:tc>
        <w:tc>
          <w:tcPr>
            <w:tcW w:w="0" w:type="auto"/>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GIS服务器</w:t>
            </w:r>
          </w:p>
        </w:tc>
        <w:tc>
          <w:tcPr>
            <w:tcW w:w="0" w:type="auto"/>
            <w:shd w:val="clear" w:color="auto" w:fill="auto"/>
            <w:noWrap/>
            <w:vAlign w:val="center"/>
          </w:tcPr>
          <w:p>
            <w:pPr>
              <w:widowControl/>
              <w:spacing w:line="360" w:lineRule="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华为2288H V5</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644"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GIS空间数据库服务器</w:t>
            </w:r>
          </w:p>
        </w:tc>
        <w:tc>
          <w:tcPr>
            <w:tcW w:w="0" w:type="auto"/>
            <w:shd w:val="clear" w:color="auto" w:fill="auto"/>
            <w:noWrap/>
            <w:vAlign w:val="center"/>
          </w:tcPr>
          <w:p>
            <w:pPr>
              <w:widowControl/>
              <w:spacing w:line="360" w:lineRule="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华为2288H V5</w:t>
            </w:r>
          </w:p>
        </w:tc>
        <w:tc>
          <w:tcPr>
            <w:tcW w:w="1032" w:type="dxa"/>
            <w:shd w:val="clear" w:color="auto" w:fill="auto"/>
            <w:noWrap/>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644"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统一用户服务-服务器</w:t>
            </w:r>
          </w:p>
        </w:tc>
        <w:tc>
          <w:tcPr>
            <w:tcW w:w="0" w:type="auto"/>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2核4G</w:t>
            </w:r>
          </w:p>
        </w:tc>
        <w:tc>
          <w:tcPr>
            <w:tcW w:w="1032"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restart"/>
            <w:shd w:val="clear" w:color="auto" w:fill="auto"/>
            <w:noWrap/>
            <w:vAlign w:val="center"/>
          </w:tcPr>
          <w:p>
            <w:pPr>
              <w:widowControl/>
              <w:spacing w:line="360" w:lineRule="auto"/>
              <w:jc w:val="right"/>
              <w:rPr>
                <w:rFonts w:hint="eastAsia" w:ascii="宋体" w:hAnsi="宋体" w:eastAsia="宋体"/>
                <w:sz w:val="24"/>
                <w:szCs w:val="24"/>
              </w:rPr>
            </w:pPr>
            <w:r>
              <w:rPr>
                <w:rFonts w:hint="eastAsia" w:ascii="宋体" w:hAnsi="宋体" w:eastAsia="宋体"/>
                <w:sz w:val="24"/>
                <w:szCs w:val="24"/>
              </w:rPr>
              <w:t>虚拟机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644"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对外服务-服务器</w:t>
            </w:r>
          </w:p>
        </w:tc>
        <w:tc>
          <w:tcPr>
            <w:tcW w:w="0" w:type="auto"/>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2核4G</w:t>
            </w:r>
          </w:p>
        </w:tc>
        <w:tc>
          <w:tcPr>
            <w:tcW w:w="1032"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644"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业务系统-服务器</w:t>
            </w:r>
          </w:p>
        </w:tc>
        <w:tc>
          <w:tcPr>
            <w:tcW w:w="0" w:type="auto"/>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8核16G</w:t>
            </w:r>
          </w:p>
        </w:tc>
        <w:tc>
          <w:tcPr>
            <w:tcW w:w="1032"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644"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大数据平台-服务器</w:t>
            </w:r>
          </w:p>
        </w:tc>
        <w:tc>
          <w:tcPr>
            <w:tcW w:w="0" w:type="auto"/>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8核16G</w:t>
            </w:r>
          </w:p>
        </w:tc>
        <w:tc>
          <w:tcPr>
            <w:tcW w:w="1032"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644"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FTP服务器</w:t>
            </w:r>
          </w:p>
        </w:tc>
        <w:tc>
          <w:tcPr>
            <w:tcW w:w="0" w:type="auto"/>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8核16G</w:t>
            </w:r>
          </w:p>
        </w:tc>
        <w:tc>
          <w:tcPr>
            <w:tcW w:w="1032"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709" w:type="dxa"/>
            <w:shd w:val="clear" w:color="auto" w:fill="auto"/>
            <w:noWrap/>
            <w:vAlign w:val="center"/>
          </w:tcPr>
          <w:p>
            <w:pPr>
              <w:widowControl/>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1071" w:type="dxa"/>
            <w:vMerge w:val="continue"/>
            <w:shd w:val="clear" w:color="auto" w:fill="auto"/>
            <w:noWrap/>
            <w:vAlign w:val="center"/>
          </w:tcPr>
          <w:p>
            <w:pPr>
              <w:widowControl/>
              <w:spacing w:line="360" w:lineRule="auto"/>
              <w:jc w:val="right"/>
              <w:rPr>
                <w:rFonts w:hint="eastAsia" w:ascii="宋体" w:hAnsi="宋体" w:eastAsia="宋体"/>
                <w:sz w:val="24"/>
                <w:szCs w:val="24"/>
              </w:rPr>
            </w:pPr>
          </w:p>
        </w:tc>
      </w:tr>
    </w:tbl>
    <w:p>
      <w:pPr>
        <w:pStyle w:val="4"/>
        <w:rPr>
          <w:rFonts w:hint="eastAsia"/>
        </w:rPr>
      </w:pPr>
      <w:r>
        <w:rPr>
          <w:rFonts w:hint="eastAsia"/>
        </w:rPr>
        <w:t>系统巡检</w:t>
      </w:r>
    </w:p>
    <w:p>
      <w:pPr>
        <w:pStyle w:val="5"/>
        <w:numPr>
          <w:ilvl w:val="0"/>
          <w:numId w:val="4"/>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日巡检</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服务期的工作日，服务商对福建省水利数据中心软件系统功能模块，包括数据中心门户、数据超市、资源目录、数据接入、数据共享，提供每天3次巡检服务，并将巡检结果向业主通报并记录。巡检要求如下：</w:t>
      </w:r>
    </w:p>
    <w:p>
      <w:pPr>
        <w:pStyle w:val="5"/>
        <w:numPr>
          <w:ilvl w:val="0"/>
          <w:numId w:val="5"/>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设计定期巡检计划并经</w:t>
      </w:r>
      <w:r>
        <w:rPr>
          <w:rFonts w:hint="eastAsia" w:ascii="仿宋_GB2312" w:hAnsi="仿宋_GB2312" w:eastAsia="仿宋_GB2312" w:cs="仿宋_GB2312"/>
          <w:kern w:val="0"/>
          <w:sz w:val="32"/>
          <w:szCs w:val="32"/>
          <w:lang w:val="en-US" w:eastAsia="zh-CN"/>
        </w:rPr>
        <w:t>业主同意</w:t>
      </w:r>
      <w:r>
        <w:rPr>
          <w:rFonts w:hint="eastAsia" w:ascii="仿宋_GB2312" w:hAnsi="仿宋_GB2312" w:eastAsia="仿宋_GB2312" w:cs="仿宋_GB2312"/>
          <w:kern w:val="0"/>
          <w:sz w:val="32"/>
          <w:szCs w:val="32"/>
        </w:rPr>
        <w:t>通过；</w:t>
      </w:r>
    </w:p>
    <w:p>
      <w:pPr>
        <w:pStyle w:val="5"/>
        <w:numPr>
          <w:ilvl w:val="0"/>
          <w:numId w:val="5"/>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根据巡检计划，对系统进行预防性检查；</w:t>
      </w:r>
    </w:p>
    <w:p>
      <w:pPr>
        <w:pStyle w:val="5"/>
        <w:numPr>
          <w:ilvl w:val="0"/>
          <w:numId w:val="5"/>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针对巡检结果进行处理；</w:t>
      </w:r>
    </w:p>
    <w:p>
      <w:pPr>
        <w:pStyle w:val="5"/>
        <w:numPr>
          <w:ilvl w:val="0"/>
          <w:numId w:val="5"/>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巡检结果通报业主，并记录。</w:t>
      </w:r>
    </w:p>
    <w:p>
      <w:pPr>
        <w:pStyle w:val="5"/>
        <w:numPr>
          <w:ilvl w:val="0"/>
          <w:numId w:val="4"/>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月巡检</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服务期内，服务商每月对福建省水利数据中心软硬件设备开展1次的系统巡检服务，包括物理服务器巡检、虚拟服务器巡检、中间件巡检、应用系统巡检。</w:t>
      </w:r>
    </w:p>
    <w:p>
      <w:pPr>
        <w:pStyle w:val="4"/>
        <w:rPr>
          <w:rFonts w:hint="eastAsia"/>
        </w:rPr>
      </w:pPr>
      <w:r>
        <w:rPr>
          <w:rFonts w:hint="eastAsia"/>
        </w:rPr>
        <w:t>汇聚任务巡检</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服务期内，服务商每月至少开展一次汇聚任务巡检服务，并将巡检结果向业主通报并记录。巡检要求如下：</w:t>
      </w:r>
    </w:p>
    <w:p>
      <w:pPr>
        <w:pStyle w:val="5"/>
        <w:numPr>
          <w:ilvl w:val="0"/>
          <w:numId w:val="6"/>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根据实际情况清理冗余资源目录；</w:t>
      </w:r>
    </w:p>
    <w:p>
      <w:pPr>
        <w:pStyle w:val="5"/>
        <w:numPr>
          <w:ilvl w:val="0"/>
          <w:numId w:val="6"/>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确认接入/推送任务的有效性。根据实际情况清理冗余接入任务、推送任务；</w:t>
      </w:r>
    </w:p>
    <w:p>
      <w:pPr>
        <w:pStyle w:val="5"/>
        <w:numPr>
          <w:ilvl w:val="0"/>
          <w:numId w:val="6"/>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巡检结果通报业主，并记录。</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服务商每月提交一次《汇聚任务巡检报告》</w:t>
      </w:r>
    </w:p>
    <w:p>
      <w:pPr>
        <w:pStyle w:val="4"/>
        <w:rPr>
          <w:rFonts w:hint="eastAsia"/>
        </w:rPr>
      </w:pPr>
      <w:r>
        <w:rPr>
          <w:rFonts w:hint="eastAsia"/>
        </w:rPr>
        <w:t>数据库日常运维</w:t>
      </w:r>
    </w:p>
    <w:p>
      <w:pPr>
        <w:pStyle w:val="5"/>
        <w:numPr>
          <w:ilvl w:val="0"/>
          <w:numId w:val="7"/>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对数据中心所有数据库实例的日常运维，包括账号管理、日志监控、存储空间监控等。</w:t>
      </w:r>
    </w:p>
    <w:p>
      <w:pPr>
        <w:pStyle w:val="5"/>
        <w:numPr>
          <w:ilvl w:val="0"/>
          <w:numId w:val="7"/>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完成业务系统数据与汇聚模块的对接，及日常运维。</w:t>
      </w:r>
    </w:p>
    <w:p>
      <w:pPr>
        <w:pStyle w:val="4"/>
        <w:rPr>
          <w:rFonts w:hint="eastAsia"/>
        </w:rPr>
      </w:pPr>
      <w:r>
        <w:rPr>
          <w:rFonts w:hint="eastAsia"/>
        </w:rPr>
        <w:t>故障处置</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安排工程师对福建省水利数据中心软件系统提供现场故障处置服务，保证软件系统在故障发生时，能够在限定的时间内（详见：故障响应时间表）到达故障所在地点处理，保证故障处置时间被压缩到最小，确保系统尽可能长时间的不间断运行。故障处置服务按需开展，服务商每次完成故障处置后，需及时编制《故障处置报告》。</w:t>
      </w:r>
    </w:p>
    <w:p>
      <w:pPr>
        <w:pStyle w:val="8"/>
        <w:jc w:val="center"/>
        <w:rPr>
          <w:rFonts w:hint="eastAsia" w:ascii="黑体" w:hAnsi="黑体" w:cs="仿宋_GB2312"/>
          <w:kern w:val="0"/>
          <w:sz w:val="24"/>
          <w:szCs w:val="24"/>
        </w:rPr>
      </w:pPr>
      <w:r>
        <w:rPr>
          <w:rFonts w:hint="eastAsia" w:ascii="黑体" w:hAnsi="黑体"/>
          <w:sz w:val="24"/>
          <w:szCs w:val="24"/>
        </w:rPr>
        <w:t xml:space="preserve">表 </w:t>
      </w:r>
      <w:r>
        <w:rPr>
          <w:rFonts w:ascii="黑体" w:hAnsi="黑体"/>
          <w:sz w:val="24"/>
          <w:szCs w:val="24"/>
        </w:rPr>
        <w:fldChar w:fldCharType="begin"/>
      </w:r>
      <w:r>
        <w:rPr>
          <w:rFonts w:ascii="黑体" w:hAnsi="黑体"/>
          <w:sz w:val="24"/>
          <w:szCs w:val="24"/>
        </w:rPr>
        <w:instrText xml:space="preserve"> </w:instrText>
      </w:r>
      <w:r>
        <w:rPr>
          <w:rFonts w:hint="eastAsia" w:ascii="黑体" w:hAnsi="黑体"/>
          <w:sz w:val="24"/>
          <w:szCs w:val="24"/>
        </w:rPr>
        <w:instrText xml:space="preserve">SEQ 表 \* ARABIC</w:instrText>
      </w:r>
      <w:r>
        <w:rPr>
          <w:rFonts w:ascii="黑体" w:hAnsi="黑体"/>
          <w:sz w:val="24"/>
          <w:szCs w:val="24"/>
        </w:rPr>
        <w:instrText xml:space="preserve"> </w:instrText>
      </w:r>
      <w:r>
        <w:rPr>
          <w:rFonts w:ascii="黑体" w:hAnsi="黑体"/>
          <w:sz w:val="24"/>
          <w:szCs w:val="24"/>
        </w:rPr>
        <w:fldChar w:fldCharType="separate"/>
      </w:r>
      <w:r>
        <w:rPr>
          <w:rFonts w:ascii="黑体" w:hAnsi="黑体"/>
          <w:sz w:val="24"/>
          <w:szCs w:val="24"/>
        </w:rPr>
        <w:t>1</w:t>
      </w:r>
      <w:r>
        <w:rPr>
          <w:rFonts w:ascii="黑体" w:hAnsi="黑体"/>
          <w:sz w:val="24"/>
          <w:szCs w:val="24"/>
        </w:rPr>
        <w:fldChar w:fldCharType="end"/>
      </w:r>
      <w:r>
        <w:rPr>
          <w:rFonts w:hint="eastAsia" w:ascii="黑体" w:hAnsi="黑体" w:cs="仿宋_GB2312"/>
          <w:kern w:val="0"/>
          <w:sz w:val="24"/>
          <w:szCs w:val="24"/>
        </w:rPr>
        <w:t>故障响应时间表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4516"/>
        <w:gridCol w:w="873"/>
        <w:gridCol w:w="87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65" w:type="pct"/>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故障级别</w:t>
            </w:r>
          </w:p>
        </w:tc>
        <w:tc>
          <w:tcPr>
            <w:tcW w:w="2649" w:type="pct"/>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故障描述</w:t>
            </w:r>
          </w:p>
        </w:tc>
        <w:tc>
          <w:tcPr>
            <w:tcW w:w="512" w:type="pct"/>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电话响应</w:t>
            </w:r>
          </w:p>
        </w:tc>
        <w:tc>
          <w:tcPr>
            <w:tcW w:w="512" w:type="pct"/>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现场响应</w:t>
            </w:r>
          </w:p>
        </w:tc>
        <w:tc>
          <w:tcPr>
            <w:tcW w:w="561" w:type="pct"/>
            <w:tcBorders>
              <w:top w:val="single" w:color="auto" w:sz="4" w:space="0"/>
              <w:left w:val="single" w:color="auto" w:sz="4" w:space="0"/>
              <w:bottom w:val="single" w:color="auto" w:sz="4" w:space="0"/>
              <w:right w:val="single" w:color="auto" w:sz="4" w:space="0"/>
            </w:tcBorders>
            <w:shd w:val="clear" w:color="auto" w:fill="E7E6E6"/>
            <w:vAlign w:val="center"/>
          </w:tcPr>
          <w:p>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故障确诊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一级故障P1（严重）</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硬件设备或者业务系统完全瘫痪，且有可能造成较大的经济损失和社会影响。</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2小时内</w:t>
            </w: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二级故障P2（紧急）</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硬件设备或者业务系统部分瘫痪，整个系统尚可部分使用，但是故障具有潜在的，使硬件设备或者业务系统完全瘫痪的危险。</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2小时内</w:t>
            </w: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三级故障P3（失常）</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硬件设备或者业务系统出现故障，导致系统性能或者业务系统效率下降，对整个系统无明显的影响，如不及时处理有可能造成更严重的故障。</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12小时内</w:t>
            </w: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四级故障P4（轻微）</w:t>
            </w:r>
          </w:p>
        </w:tc>
        <w:tc>
          <w:tcPr>
            <w:tcW w:w="264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咨询类问题或系统在运行过程中，对系统功能、配置等方面需要信息资料。对业务几乎无影响。</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12小时内</w:t>
            </w:r>
          </w:p>
        </w:tc>
        <w:tc>
          <w:tcPr>
            <w:tcW w:w="56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sz w:val="24"/>
                <w:szCs w:val="24"/>
              </w:rPr>
            </w:pPr>
            <w:r>
              <w:rPr>
                <w:rFonts w:hint="eastAsia" w:asciiTheme="minorEastAsia" w:hAnsiTheme="minorEastAsia"/>
                <w:sz w:val="24"/>
                <w:szCs w:val="24"/>
              </w:rPr>
              <w:t>24小时</w:t>
            </w:r>
          </w:p>
        </w:tc>
      </w:tr>
    </w:tbl>
    <w:p>
      <w:pPr>
        <w:pStyle w:val="4"/>
        <w:rPr>
          <w:rFonts w:hint="eastAsia"/>
        </w:rPr>
      </w:pPr>
      <w:r>
        <w:rPr>
          <w:rFonts w:hint="eastAsia"/>
        </w:rPr>
        <w:t>安全加固</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服务期内，服务商按需提供系统安全加固服务，对福建省水利数据中心软件系统进行安全加固，确保业务系统安全运行，通常情况下需要对操作系统、中间件和软件系统等进行安全加固，包括以下几点：</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（1）根据等保测评等安全检测机构出具的漏洞整改和安全加固意见进行修复；</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（2）根据巡检结果进行漏洞修复；</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（3）根据新发布的补丁进行漏洞修复。</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服务商每次完成安全加固服务后，需及时编制《漏洞整改和安全加固报告》。</w:t>
      </w:r>
    </w:p>
    <w:p>
      <w:pPr>
        <w:pStyle w:val="4"/>
        <w:rPr>
          <w:rFonts w:hint="eastAsia"/>
        </w:rPr>
      </w:pPr>
      <w:bookmarkStart w:id="1" w:name="_Hlk181793722"/>
      <w:r>
        <w:rPr>
          <w:rFonts w:hint="eastAsia"/>
        </w:rPr>
        <w:t>重要时期运维保障</w:t>
      </w:r>
      <w:bookmarkEnd w:id="1"/>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福建省水利数据中心提供领导参观、重要节假日、国家重要活动、攻防演练、防汛等重要时期7*24小时驻点或远程重点保障。重要时期运维保障服务期间由运维工程师配合用户准备系统演示环境，并增加巡检和运行监控的频率，对系统日志、容量和运行态势情况进行实时分析，针对分析发现有可能导致隐患的事件进行预警，阻止隐患的发生。</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服务商按需开展重要时期运维保障服务，每次重要时期运维保障服务后，需及时提交《重保时期安全保障报告》和《保障人员值班记录表》。</w:t>
      </w:r>
    </w:p>
    <w:p>
      <w:pPr>
        <w:pStyle w:val="4"/>
        <w:rPr>
          <w:rFonts w:hint="eastAsia"/>
        </w:rPr>
      </w:pPr>
      <w:r>
        <w:rPr>
          <w:rFonts w:hint="eastAsia"/>
        </w:rPr>
        <w:t>国产化环境运维服务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服务期内，水利数据中心相关系统若</w:t>
      </w:r>
      <w:r>
        <w:rPr>
          <w:rFonts w:hint="eastAsia" w:ascii="仿宋_GB2312" w:hAnsi="仿宋_GB2312" w:eastAsia="仿宋_GB2312" w:cs="仿宋_GB2312"/>
          <w:kern w:val="0"/>
          <w:sz w:val="32"/>
          <w:szCs w:val="32"/>
          <w:lang w:val="en-US" w:eastAsia="zh-CN"/>
        </w:rPr>
        <w:t>需要实现</w:t>
      </w:r>
      <w:r>
        <w:rPr>
          <w:rFonts w:hint="eastAsia" w:ascii="仿宋_GB2312" w:hAnsi="仿宋_GB2312" w:eastAsia="仿宋_GB2312" w:cs="仿宋_GB2312"/>
          <w:kern w:val="0"/>
          <w:sz w:val="32"/>
          <w:szCs w:val="32"/>
        </w:rPr>
        <w:t>国产化改造，服务商应按甲方要求配合水利数据迁移</w:t>
      </w:r>
      <w:r>
        <w:rPr>
          <w:rFonts w:hint="eastAsia" w:ascii="仿宋_GB2312" w:hAnsi="仿宋_GB2312" w:eastAsia="仿宋_GB2312" w:cs="仿宋_GB2312"/>
          <w:kern w:val="0"/>
          <w:sz w:val="32"/>
          <w:szCs w:val="32"/>
          <w:lang w:val="en-US" w:eastAsia="zh-CN"/>
        </w:rPr>
        <w:t>及技术配合</w:t>
      </w:r>
      <w:r>
        <w:rPr>
          <w:rFonts w:hint="eastAsia" w:ascii="仿宋_GB2312" w:hAnsi="仿宋_GB2312" w:eastAsia="仿宋_GB2312" w:cs="仿宋_GB2312"/>
          <w:kern w:val="0"/>
          <w:sz w:val="32"/>
          <w:szCs w:val="32"/>
        </w:rPr>
        <w:t>。</w:t>
      </w:r>
    </w:p>
    <w:p>
      <w:pPr>
        <w:pStyle w:val="3"/>
        <w:rPr>
          <w:rFonts w:hint="eastAsia"/>
        </w:rPr>
      </w:pPr>
      <w:r>
        <w:rPr>
          <w:rFonts w:hint="eastAsia"/>
        </w:rPr>
        <w:t>数据运营服务要求</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为确保水利数据安全、高效、有序地流动，提供数据运营服务，服务内容包括数据汇聚服务、数据共享服务、与省汇聚共享平台日常对接服务、数据安全保障服务。</w:t>
      </w:r>
    </w:p>
    <w:p>
      <w:pPr>
        <w:pStyle w:val="4"/>
        <w:numPr>
          <w:ilvl w:val="0"/>
          <w:numId w:val="8"/>
        </w:numPr>
        <w:rPr>
          <w:rFonts w:hint="eastAsia"/>
        </w:rPr>
      </w:pPr>
      <w:r>
        <w:rPr>
          <w:rFonts w:hint="eastAsia"/>
        </w:rPr>
        <w:t>数据汇聚服务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数据汇聚服务包括材料审查、资产登记、目录维护、数据接入保障、数据表更新情况跟踪。服务商每月编制一份《数据汇聚服务报告》上报业主。</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（1）材料审查</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按省中心要求，审查数据生产单位提交的电子材料，包括可研建设内容功能与数据表对应清单、数据汇聚情况说明、数据表结构、表间关联关系、数据字典、系统截图。将有问题的材料退回整改，直至材料合格。</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（2）资产登记</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将审查通过的材料，利用水利数据中心现有系统功能进行资产登记，包括应用系统信息登记、业务数据库登记、信息资源各类元数据填报（基础元数据、政务元数据、技术元数据、水利元数据）。</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（3）目录维护</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日常响应各单位的资产目录修改需求。根据实际业务情况配合完成审核工作。将通过审核的变更需求在系统上同步更新，并核查变更信息关联的共享任务，根据实际情况变更任务。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（4）数据接入保障</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常态化保障新增的业务表数据接入。根据各单位的数据对接方式，在系统进行相应的配置对接工作。包括前置接入、FTP批量文件接口采集服务、Web Service接口采集服务、录入数据采集服务。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（5）数据表更新情况跟踪</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定时检查水利数据中心数据表是否按照更新周期进行更新。当出现数据表未及时更新时，及时进行排查、跟踪处理。</w:t>
      </w:r>
    </w:p>
    <w:p>
      <w:pPr>
        <w:pStyle w:val="4"/>
        <w:numPr>
          <w:ilvl w:val="0"/>
          <w:numId w:val="8"/>
        </w:numPr>
        <w:rPr>
          <w:rFonts w:hint="eastAsia"/>
        </w:rPr>
      </w:pPr>
      <w:r>
        <w:rPr>
          <w:rFonts w:hint="eastAsia"/>
        </w:rPr>
        <w:t>数据共享服务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据共享服务是指根据厅内各部门和区县应用数据共享需求开展供需对接，以及按照省汇聚共享平台“应汇尽汇”原则，将水利数据中心数据汇聚至省汇聚共享平台。服务商每月编制一份《数据共享服务报告》上报业主。</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（1）厅内数据共享</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厅内数据共享服务内容包括审核数据共享申请单和按照共享需求配置批量数据交换任务。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（2）数据共享至省汇聚共享平台</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将数据共享至省公共数据汇聚共享平台，服务内容包括存量系统共享信息维护、增量业务系统共享。</w:t>
      </w:r>
    </w:p>
    <w:p>
      <w:pPr>
        <w:pStyle w:val="4"/>
        <w:numPr>
          <w:ilvl w:val="0"/>
          <w:numId w:val="8"/>
        </w:numPr>
        <w:rPr>
          <w:rFonts w:hint="eastAsia"/>
        </w:rPr>
      </w:pPr>
      <w:r>
        <w:rPr>
          <w:rFonts w:hint="eastAsia"/>
        </w:rPr>
        <w:t>与省汇聚共享平台日常对接服务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服务内容包括超期更新数据表处理、问题数据处理、数据对账、开放目录治理、事项与目录关联。服务商每季度编制一份《与省汇聚共享平台日常对接服务报告》上报业主。</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超期更新数据表处理</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定期跟踪、处理省汇聚共享平台超期更新数据表。</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（2）问题数据处理</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对省汇聚共享平台提出的数据问题进行排查、处理。具体数据问题包括空值校验出错、日期格式校验出错、数值型校验出错、值域校验出错、字典值校验出错、字段长度范围校验出错。</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（3）数据对账</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根据省汇聚共享平台的要求，按需开展数据对账（不包括时序数据表）。当对账结果出入较大时，配合数据补推。</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（4）开放目录治理</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围绕开放数据的准确性、完整性、时效性、全面性和多样性，根据上级考核诊断结果，服务商将按需提供开放目录治理服务。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（5）事项与目录关联检查</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按照业主要求，开展事项与目录关联检查，从而提高业务办理项关联率。</w:t>
      </w:r>
    </w:p>
    <w:p>
      <w:pPr>
        <w:pStyle w:val="4"/>
        <w:numPr>
          <w:ilvl w:val="0"/>
          <w:numId w:val="8"/>
        </w:numPr>
        <w:rPr>
          <w:rFonts w:hint="eastAsia"/>
        </w:rPr>
      </w:pPr>
      <w:r>
        <w:rPr>
          <w:rFonts w:hint="eastAsia"/>
        </w:rPr>
        <w:t>数据安全保障服务</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保障水利数据安全，服务商在服务期间需配合厅里数据安全总体要求，开展数据安全保障服务。服务内容包括数据分级分类和数据安全检查整改。服务商每半年编制一份《数据安全保障服务报告》上报业主。</w:t>
      </w:r>
    </w:p>
    <w:p>
      <w:pPr>
        <w:pStyle w:val="2"/>
        <w:rPr>
          <w:rFonts w:hint="eastAsia"/>
        </w:rPr>
      </w:pPr>
      <w:r>
        <w:rPr>
          <w:rFonts w:hint="eastAsia"/>
        </w:rPr>
        <w:t>二、服务要求</w:t>
      </w:r>
    </w:p>
    <w:p>
      <w:pPr>
        <w:spacing w:line="520" w:lineRule="exact"/>
        <w:ind w:firstLine="640" w:firstLineChars="200"/>
        <w:rPr>
          <w:rFonts w:hint="eastAsia" w:ascii="仿宋_GB2312" w:hAnsi="仿宋_GB2312" w:eastAsia="仿宋_GB2312" w:cs="仿宋_GB2312"/>
          <w:kern w:val="0"/>
          <w:sz w:val="32"/>
          <w:szCs w:val="32"/>
        </w:rPr>
      </w:pPr>
    </w:p>
    <w:p>
      <w:pPr>
        <w:pStyle w:val="3"/>
        <w:numPr>
          <w:ilvl w:val="0"/>
          <w:numId w:val="9"/>
        </w:numPr>
        <w:rPr>
          <w:rFonts w:hint="eastAsia"/>
        </w:rPr>
      </w:pPr>
      <w:r>
        <w:rPr>
          <w:rFonts w:hint="eastAsia"/>
        </w:rPr>
        <w:t>服务人员要求</w:t>
      </w:r>
    </w:p>
    <w:p>
      <w:pPr>
        <w:spacing w:line="520" w:lineRule="exact"/>
        <w:ind w:firstLine="640" w:firstLineChars="200"/>
        <w:rPr>
          <w:color w:val="auto"/>
        </w:rPr>
      </w:pPr>
      <w:r>
        <w:rPr>
          <w:rFonts w:hint="eastAsia" w:ascii="仿宋_GB2312" w:hAnsi="仿宋_GB2312" w:eastAsia="仿宋_GB2312" w:cs="仿宋_GB2312"/>
          <w:color w:val="auto"/>
          <w:kern w:val="0"/>
          <w:sz w:val="32"/>
          <w:szCs w:val="32"/>
        </w:rPr>
        <w:t>服务期内，至少配置2名服务技术人员开展本项服务工作。</w:t>
      </w:r>
    </w:p>
    <w:p>
      <w:pPr>
        <w:pStyle w:val="3"/>
        <w:rPr>
          <w:rFonts w:hint="eastAsia"/>
        </w:rPr>
      </w:pPr>
      <w:r>
        <w:rPr>
          <w:rFonts w:hint="eastAsia"/>
        </w:rPr>
        <w:t>服务成果要求</w:t>
      </w:r>
    </w:p>
    <w:tbl>
      <w:tblPr>
        <w:tblStyle w:val="1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625"/>
        <w:gridCol w:w="3419"/>
        <w:gridCol w:w="16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double" w:color="auto" w:sz="4" w:space="0"/>
              <w:left w:val="double" w:color="auto" w:sz="4" w:space="0"/>
              <w:bottom w:val="single" w:color="auto" w:sz="6" w:space="0"/>
              <w:right w:val="single" w:color="auto" w:sz="6" w:space="0"/>
              <w:tl2br w:val="nil"/>
              <w:tr2bl w:val="nil"/>
            </w:tcBorders>
            <w:shd w:val="clear" w:color="auto" w:fill="D7D7D7" w:themeFill="background1" w:themeFillShade="D8"/>
            <w:noWrap/>
            <w:vAlign w:val="center"/>
          </w:tcPr>
          <w:p>
            <w:pPr>
              <w:widowControl/>
              <w:jc w:val="center"/>
              <w:rPr>
                <w:rFonts w:hint="eastAsia" w:ascii="宋体" w:hAnsi="宋体" w:cs="宋体"/>
                <w:b/>
                <w:bCs/>
                <w:kern w:val="0"/>
                <w:sz w:val="24"/>
                <w:szCs w:val="24"/>
                <w:lang w:bidi="ar"/>
              </w:rPr>
            </w:pPr>
            <w:r>
              <w:rPr>
                <w:rFonts w:hint="eastAsia" w:ascii="宋体" w:hAnsi="宋体" w:cs="宋体"/>
                <w:b/>
                <w:bCs/>
                <w:kern w:val="0"/>
                <w:sz w:val="24"/>
                <w:szCs w:val="24"/>
                <w:lang w:bidi="ar"/>
              </w:rPr>
              <w:t>序号</w:t>
            </w:r>
          </w:p>
        </w:tc>
        <w:tc>
          <w:tcPr>
            <w:tcW w:w="1540" w:type="pct"/>
            <w:tcBorders>
              <w:top w:val="double" w:color="auto" w:sz="4" w:space="0"/>
              <w:left w:val="single" w:color="auto" w:sz="6" w:space="0"/>
              <w:bottom w:val="single" w:color="auto" w:sz="6" w:space="0"/>
              <w:right w:val="single" w:color="auto" w:sz="6" w:space="0"/>
              <w:tl2br w:val="nil"/>
              <w:tr2bl w:val="nil"/>
            </w:tcBorders>
            <w:shd w:val="clear" w:color="auto" w:fill="D7D7D7" w:themeFill="background1" w:themeFillShade="D8"/>
            <w:noWrap/>
            <w:vAlign w:val="center"/>
          </w:tcPr>
          <w:p>
            <w:pPr>
              <w:widowControl/>
              <w:jc w:val="center"/>
              <w:rPr>
                <w:rFonts w:hint="eastAsia" w:ascii="宋体" w:hAnsi="宋体" w:cs="宋体"/>
                <w:b/>
                <w:bCs/>
                <w:kern w:val="0"/>
                <w:sz w:val="24"/>
                <w:szCs w:val="24"/>
                <w:lang w:bidi="ar"/>
              </w:rPr>
            </w:pPr>
            <w:r>
              <w:rPr>
                <w:rFonts w:hint="eastAsia" w:ascii="宋体" w:hAnsi="宋体" w:cs="宋体"/>
                <w:b/>
                <w:bCs/>
                <w:kern w:val="0"/>
                <w:sz w:val="24"/>
                <w:szCs w:val="24"/>
                <w:lang w:bidi="ar"/>
              </w:rPr>
              <w:t>服务项</w:t>
            </w:r>
          </w:p>
        </w:tc>
        <w:tc>
          <w:tcPr>
            <w:tcW w:w="2006" w:type="pct"/>
            <w:tcBorders>
              <w:top w:val="double" w:color="auto" w:sz="4" w:space="0"/>
              <w:left w:val="single" w:color="auto" w:sz="6" w:space="0"/>
              <w:bottom w:val="single" w:color="auto" w:sz="6" w:space="0"/>
              <w:right w:val="single" w:color="auto" w:sz="6" w:space="0"/>
              <w:tl2br w:val="nil"/>
              <w:tr2bl w:val="nil"/>
            </w:tcBorders>
            <w:shd w:val="clear" w:color="auto" w:fill="D7D7D7" w:themeFill="background1" w:themeFillShade="D8"/>
            <w:noWrap/>
            <w:vAlign w:val="center"/>
          </w:tcPr>
          <w:p>
            <w:pPr>
              <w:widowControl/>
              <w:jc w:val="center"/>
              <w:rPr>
                <w:rFonts w:hint="eastAsia" w:ascii="宋体" w:hAnsi="宋体" w:cs="宋体"/>
                <w:b/>
                <w:bCs/>
                <w:kern w:val="0"/>
                <w:sz w:val="24"/>
                <w:szCs w:val="24"/>
                <w:lang w:bidi="ar"/>
              </w:rPr>
            </w:pPr>
            <w:r>
              <w:rPr>
                <w:rFonts w:hint="eastAsia" w:ascii="宋体" w:hAnsi="宋体" w:cs="宋体"/>
                <w:b/>
                <w:bCs/>
                <w:kern w:val="0"/>
                <w:sz w:val="24"/>
                <w:szCs w:val="24"/>
                <w:lang w:bidi="ar"/>
              </w:rPr>
              <w:t>服务交付成果</w:t>
            </w:r>
          </w:p>
        </w:tc>
        <w:tc>
          <w:tcPr>
            <w:tcW w:w="950" w:type="pct"/>
            <w:tcBorders>
              <w:top w:val="double" w:color="auto" w:sz="4" w:space="0"/>
              <w:left w:val="single" w:color="auto" w:sz="6" w:space="0"/>
              <w:bottom w:val="single" w:color="auto" w:sz="6" w:space="0"/>
              <w:right w:val="double" w:color="auto" w:sz="4" w:space="0"/>
              <w:tl2br w:val="nil"/>
              <w:tr2bl w:val="nil"/>
            </w:tcBorders>
            <w:shd w:val="clear" w:color="auto" w:fill="D7D7D7" w:themeFill="background1" w:themeFillShade="D8"/>
            <w:noWrap/>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频次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系统巡检</w:t>
            </w:r>
          </w:p>
        </w:tc>
        <w:tc>
          <w:tcPr>
            <w:tcW w:w="2006"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《巡检报告》</w:t>
            </w:r>
          </w:p>
        </w:tc>
        <w:tc>
          <w:tcPr>
            <w:tcW w:w="950" w:type="pct"/>
            <w:tcBorders>
              <w:top w:val="single" w:color="auto" w:sz="6" w:space="0"/>
              <w:left w:val="single" w:color="auto" w:sz="6" w:space="0"/>
              <w:bottom w:val="single" w:color="auto" w:sz="6" w:space="0"/>
              <w:right w:val="double" w:color="auto" w:sz="4" w:space="0"/>
              <w:tl2br w:val="nil"/>
              <w:tr2bl w:val="nil"/>
            </w:tcBorders>
            <w:shd w:val="clear" w:color="auto" w:fill="auto"/>
            <w:noWrap/>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每月一次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汇聚任务巡检</w:t>
            </w:r>
          </w:p>
        </w:tc>
        <w:tc>
          <w:tcPr>
            <w:tcW w:w="2006"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w:t>
            </w:r>
            <w:bookmarkStart w:id="2" w:name="OLE_LINK63"/>
            <w:r>
              <w:rPr>
                <w:rFonts w:hint="eastAsia" w:ascii="宋体" w:hAnsi="宋体" w:cs="宋体"/>
                <w:kern w:val="0"/>
                <w:sz w:val="24"/>
                <w:szCs w:val="24"/>
                <w:lang w:bidi="ar"/>
              </w:rPr>
              <w:t>汇聚任务巡检报告</w:t>
            </w:r>
            <w:bookmarkEnd w:id="2"/>
            <w:r>
              <w:rPr>
                <w:rFonts w:hint="eastAsia" w:ascii="宋体" w:hAnsi="宋体" w:cs="宋体"/>
                <w:kern w:val="0"/>
                <w:sz w:val="24"/>
                <w:szCs w:val="24"/>
                <w:lang w:bidi="ar"/>
              </w:rPr>
              <w:t>》</w:t>
            </w:r>
          </w:p>
        </w:tc>
        <w:tc>
          <w:tcPr>
            <w:tcW w:w="950" w:type="pct"/>
            <w:tcBorders>
              <w:top w:val="single" w:color="auto" w:sz="6" w:space="0"/>
              <w:left w:val="single" w:color="auto" w:sz="6" w:space="0"/>
              <w:bottom w:val="single" w:color="auto" w:sz="6" w:space="0"/>
              <w:right w:val="double" w:color="auto" w:sz="4" w:space="0"/>
              <w:tl2br w:val="nil"/>
              <w:tr2bl w:val="nil"/>
            </w:tcBorders>
            <w:shd w:val="clear" w:color="auto" w:fill="auto"/>
            <w:noWrap/>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每月一次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故障处置</w:t>
            </w:r>
          </w:p>
        </w:tc>
        <w:tc>
          <w:tcPr>
            <w:tcW w:w="2006"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《故障处置报告》</w:t>
            </w:r>
          </w:p>
        </w:tc>
        <w:tc>
          <w:tcPr>
            <w:tcW w:w="950" w:type="pct"/>
            <w:tcBorders>
              <w:top w:val="single" w:color="auto" w:sz="6" w:space="0"/>
              <w:left w:val="single" w:color="auto" w:sz="6" w:space="0"/>
              <w:bottom w:val="single" w:color="auto" w:sz="6" w:space="0"/>
              <w:right w:val="double" w:color="auto" w:sz="4" w:space="0"/>
              <w:tl2br w:val="nil"/>
              <w:tr2bl w:val="nil"/>
            </w:tcBorders>
            <w:shd w:val="clear" w:color="auto" w:fill="auto"/>
            <w:noWrap/>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按需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安全加固</w:t>
            </w:r>
          </w:p>
        </w:tc>
        <w:tc>
          <w:tcPr>
            <w:tcW w:w="2006"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w:t>
            </w:r>
            <w:bookmarkStart w:id="3" w:name="OLE_LINK67"/>
            <w:r>
              <w:rPr>
                <w:rFonts w:hint="eastAsia" w:ascii="宋体" w:hAnsi="宋体" w:cs="宋体"/>
                <w:kern w:val="0"/>
                <w:sz w:val="24"/>
                <w:szCs w:val="24"/>
                <w:lang w:bidi="ar"/>
              </w:rPr>
              <w:t>漏洞整改和安全加固报告</w:t>
            </w:r>
            <w:bookmarkEnd w:id="3"/>
            <w:r>
              <w:rPr>
                <w:rFonts w:hint="eastAsia" w:ascii="宋体" w:hAnsi="宋体" w:cs="宋体"/>
                <w:kern w:val="0"/>
                <w:sz w:val="24"/>
                <w:szCs w:val="24"/>
                <w:lang w:bidi="ar"/>
              </w:rPr>
              <w:t>》</w:t>
            </w:r>
          </w:p>
        </w:tc>
        <w:tc>
          <w:tcPr>
            <w:tcW w:w="950" w:type="pct"/>
            <w:tcBorders>
              <w:top w:val="single" w:color="auto" w:sz="6" w:space="0"/>
              <w:left w:val="single" w:color="auto" w:sz="6" w:space="0"/>
              <w:bottom w:val="single" w:color="auto" w:sz="6" w:space="0"/>
              <w:right w:val="double" w:color="auto" w:sz="4" w:space="0"/>
              <w:tl2br w:val="nil"/>
              <w:tr2bl w:val="nil"/>
            </w:tcBorders>
            <w:shd w:val="clear" w:color="auto" w:fill="auto"/>
            <w:noWrap/>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按需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bookmarkStart w:id="4" w:name="_Hlk176361711"/>
          </w:p>
        </w:tc>
        <w:tc>
          <w:tcPr>
            <w:tcW w:w="1540"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重要时期重要保障</w:t>
            </w:r>
          </w:p>
        </w:tc>
        <w:tc>
          <w:tcPr>
            <w:tcW w:w="2006" w:type="pc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《重保时期安全保障报告》、《保障人员值班记录表》</w:t>
            </w:r>
          </w:p>
        </w:tc>
        <w:tc>
          <w:tcPr>
            <w:tcW w:w="950" w:type="pct"/>
            <w:tcBorders>
              <w:top w:val="single" w:color="auto" w:sz="6" w:space="0"/>
              <w:left w:val="single" w:color="auto" w:sz="6" w:space="0"/>
              <w:bottom w:val="single" w:color="auto" w:sz="6" w:space="0"/>
              <w:right w:val="double" w:color="auto" w:sz="4" w:space="0"/>
              <w:tl2br w:val="nil"/>
              <w:tr2bl w:val="nil"/>
            </w:tcBorders>
            <w:shd w:val="clear" w:color="auto" w:fill="auto"/>
            <w:noWrap/>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按需</w:t>
            </w:r>
          </w:p>
        </w:tc>
      </w:tr>
      <w:bookmarkEnd w:id="4"/>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数据汇聚服务</w:t>
            </w:r>
          </w:p>
        </w:tc>
        <w:tc>
          <w:tcPr>
            <w:tcW w:w="2006" w:type="pct"/>
            <w:tcBorders>
              <w:tl2br w:val="nil"/>
              <w:tr2bl w:val="nil"/>
            </w:tcBorders>
            <w:shd w:val="clear" w:color="auto" w:fill="auto"/>
            <w:noWrap/>
            <w:vAlign w:val="center"/>
          </w:tcPr>
          <w:p>
            <w:pPr>
              <w:jc w:val="left"/>
              <w:rPr>
                <w:rFonts w:hint="eastAsia" w:ascii="宋体" w:hAnsi="宋体" w:cs="Arial"/>
                <w:sz w:val="24"/>
                <w:szCs w:val="24"/>
              </w:rPr>
            </w:pPr>
            <w:r>
              <w:rPr>
                <w:rFonts w:hint="eastAsia" w:ascii="宋体" w:hAnsi="宋体" w:cs="Arial"/>
                <w:sz w:val="24"/>
                <w:szCs w:val="24"/>
                <w:lang w:bidi="ar"/>
              </w:rPr>
              <w:t>《数据汇聚服务报告》</w:t>
            </w:r>
          </w:p>
        </w:tc>
        <w:tc>
          <w:tcPr>
            <w:tcW w:w="950" w:type="pct"/>
            <w:tcBorders>
              <w:tl2br w:val="nil"/>
              <w:tr2bl w:val="nil"/>
            </w:tcBorders>
            <w:shd w:val="clear" w:color="auto" w:fill="auto"/>
            <w:noWrap/>
            <w:vAlign w:val="center"/>
          </w:tcPr>
          <w:p>
            <w:pPr>
              <w:jc w:val="left"/>
              <w:rPr>
                <w:rFonts w:hint="eastAsia" w:ascii="宋体" w:hAnsi="宋体" w:cs="宋体"/>
                <w:kern w:val="0"/>
                <w:sz w:val="24"/>
                <w:szCs w:val="24"/>
                <w:lang w:bidi="ar"/>
              </w:rPr>
            </w:pPr>
            <w:r>
              <w:rPr>
                <w:rFonts w:hint="eastAsia" w:ascii="宋体" w:hAnsi="宋体" w:cs="宋体"/>
                <w:kern w:val="0"/>
                <w:sz w:val="24"/>
                <w:szCs w:val="24"/>
                <w:lang w:bidi="ar"/>
              </w:rPr>
              <w:t>每月一次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数据共享服务</w:t>
            </w:r>
          </w:p>
        </w:tc>
        <w:tc>
          <w:tcPr>
            <w:tcW w:w="2006" w:type="pct"/>
            <w:tcBorders>
              <w:tl2br w:val="nil"/>
              <w:tr2bl w:val="nil"/>
            </w:tcBorders>
            <w:shd w:val="clear" w:color="auto" w:fill="auto"/>
            <w:noWrap/>
            <w:vAlign w:val="center"/>
          </w:tcPr>
          <w:p>
            <w:pPr>
              <w:jc w:val="left"/>
              <w:rPr>
                <w:rFonts w:hint="eastAsia" w:ascii="宋体" w:hAnsi="宋体" w:cs="Arial"/>
                <w:sz w:val="24"/>
                <w:szCs w:val="24"/>
                <w:lang w:bidi="ar"/>
              </w:rPr>
            </w:pPr>
            <w:r>
              <w:rPr>
                <w:rFonts w:hint="eastAsia" w:ascii="宋体" w:hAnsi="宋体" w:cs="Arial"/>
                <w:sz w:val="24"/>
                <w:szCs w:val="24"/>
                <w:lang w:bidi="ar"/>
              </w:rPr>
              <w:t>《数据共享服务报告》</w:t>
            </w:r>
          </w:p>
        </w:tc>
        <w:tc>
          <w:tcPr>
            <w:tcW w:w="950" w:type="pct"/>
            <w:tcBorders>
              <w:tl2br w:val="nil"/>
              <w:tr2bl w:val="nil"/>
            </w:tcBorders>
            <w:shd w:val="clear" w:color="auto" w:fill="auto"/>
            <w:noWrap/>
            <w:vAlign w:val="center"/>
          </w:tcPr>
          <w:p>
            <w:pPr>
              <w:jc w:val="left"/>
              <w:rPr>
                <w:rFonts w:hint="eastAsia" w:ascii="宋体" w:hAnsi="宋体" w:cs="宋体"/>
                <w:kern w:val="0"/>
                <w:sz w:val="24"/>
                <w:szCs w:val="24"/>
                <w:lang w:bidi="ar"/>
              </w:rPr>
            </w:pPr>
            <w:r>
              <w:rPr>
                <w:rFonts w:hint="eastAsia" w:ascii="宋体" w:hAnsi="宋体" w:cs="宋体"/>
                <w:kern w:val="0"/>
                <w:sz w:val="24"/>
                <w:szCs w:val="24"/>
                <w:lang w:bidi="ar"/>
              </w:rPr>
              <w:t>每月一次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与省汇聚共享平台日常对接服务</w:t>
            </w:r>
          </w:p>
        </w:tc>
        <w:tc>
          <w:tcPr>
            <w:tcW w:w="2006" w:type="pct"/>
            <w:tcBorders>
              <w:tl2br w:val="nil"/>
              <w:tr2bl w:val="nil"/>
            </w:tcBorders>
            <w:shd w:val="clear" w:color="auto" w:fill="auto"/>
            <w:noWrap/>
            <w:vAlign w:val="center"/>
          </w:tcPr>
          <w:p>
            <w:pPr>
              <w:jc w:val="left"/>
              <w:rPr>
                <w:rFonts w:hint="eastAsia" w:ascii="宋体" w:hAnsi="宋体" w:cs="Arial"/>
                <w:sz w:val="24"/>
                <w:szCs w:val="24"/>
                <w:lang w:bidi="ar"/>
              </w:rPr>
            </w:pPr>
            <w:r>
              <w:rPr>
                <w:rFonts w:hint="eastAsia" w:ascii="宋体" w:hAnsi="宋体" w:cs="宋体"/>
                <w:kern w:val="0"/>
                <w:sz w:val="24"/>
                <w:szCs w:val="24"/>
                <w:lang w:bidi="ar"/>
              </w:rPr>
              <w:t>《与省汇聚共享平台日常对接服务报告》</w:t>
            </w:r>
          </w:p>
        </w:tc>
        <w:tc>
          <w:tcPr>
            <w:tcW w:w="950" w:type="pct"/>
            <w:tcBorders>
              <w:tl2br w:val="nil"/>
              <w:tr2bl w:val="nil"/>
            </w:tcBorders>
            <w:shd w:val="clear" w:color="auto" w:fill="auto"/>
            <w:noWrap/>
            <w:vAlign w:val="center"/>
          </w:tcPr>
          <w:p>
            <w:pPr>
              <w:jc w:val="left"/>
              <w:rPr>
                <w:rFonts w:hint="eastAsia" w:ascii="宋体" w:hAnsi="宋体" w:cs="宋体"/>
                <w:kern w:val="0"/>
                <w:sz w:val="24"/>
                <w:szCs w:val="24"/>
                <w:lang w:bidi="ar"/>
              </w:rPr>
            </w:pPr>
            <w:r>
              <w:rPr>
                <w:rFonts w:hint="eastAsia" w:ascii="宋体" w:hAnsi="宋体" w:cs="宋体"/>
                <w:kern w:val="0"/>
                <w:sz w:val="24"/>
                <w:szCs w:val="24"/>
                <w:lang w:bidi="ar"/>
              </w:rPr>
              <w:t>每季度一次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shd w:val="clear" w:color="auto" w:fill="auto"/>
            <w:noWrap/>
            <w:vAlign w:val="center"/>
          </w:tcPr>
          <w:p>
            <w:pPr>
              <w:pStyle w:val="31"/>
              <w:widowControl/>
              <w:numPr>
                <w:ilvl w:val="0"/>
                <w:numId w:val="10"/>
              </w:numPr>
              <w:ind w:left="0" w:firstLine="0" w:firstLineChars="0"/>
              <w:jc w:val="center"/>
              <w:rPr>
                <w:rFonts w:hint="eastAsia" w:ascii="宋体" w:hAnsi="宋体" w:cs="宋体" w:eastAsiaTheme="minorEastAsia"/>
                <w:kern w:val="0"/>
                <w:sz w:val="24"/>
                <w:lang w:bidi="ar"/>
              </w:rPr>
            </w:pPr>
          </w:p>
        </w:tc>
        <w:tc>
          <w:tcPr>
            <w:tcW w:w="1540" w:type="pct"/>
            <w:tcBorders>
              <w:tl2br w:val="nil"/>
              <w:tr2bl w:val="nil"/>
            </w:tcBorders>
            <w:shd w:val="clear" w:color="auto" w:fill="auto"/>
            <w:noWrap/>
            <w:vAlign w:val="center"/>
          </w:tcPr>
          <w:p>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数据安全保障服务</w:t>
            </w:r>
          </w:p>
        </w:tc>
        <w:tc>
          <w:tcPr>
            <w:tcW w:w="2006" w:type="pct"/>
            <w:tcBorders>
              <w:tl2br w:val="nil"/>
              <w:tr2bl w:val="nil"/>
            </w:tcBorders>
            <w:shd w:val="clear" w:color="auto" w:fill="auto"/>
            <w:noWrap/>
            <w:vAlign w:val="center"/>
          </w:tcPr>
          <w:p>
            <w:pPr>
              <w:jc w:val="left"/>
              <w:rPr>
                <w:rFonts w:hint="eastAsia" w:ascii="宋体" w:hAnsi="宋体" w:cs="Arial"/>
                <w:sz w:val="24"/>
                <w:szCs w:val="24"/>
                <w:lang w:bidi="ar"/>
              </w:rPr>
            </w:pPr>
            <w:r>
              <w:rPr>
                <w:rFonts w:hint="eastAsia" w:ascii="宋体" w:hAnsi="宋体" w:cs="宋体"/>
                <w:sz w:val="24"/>
                <w:szCs w:val="24"/>
                <w:lang w:bidi="ar"/>
              </w:rPr>
              <w:t>《数据安全保障服务报告》</w:t>
            </w:r>
          </w:p>
        </w:tc>
        <w:tc>
          <w:tcPr>
            <w:tcW w:w="950" w:type="pct"/>
            <w:tcBorders>
              <w:tl2br w:val="nil"/>
              <w:tr2bl w:val="nil"/>
            </w:tcBorders>
            <w:shd w:val="clear" w:color="auto" w:fill="auto"/>
            <w:noWrap/>
            <w:vAlign w:val="center"/>
          </w:tcPr>
          <w:p>
            <w:pPr>
              <w:jc w:val="left"/>
              <w:rPr>
                <w:rFonts w:hint="eastAsia" w:ascii="宋体" w:hAnsi="宋体" w:cs="宋体"/>
                <w:kern w:val="0"/>
                <w:sz w:val="24"/>
                <w:szCs w:val="24"/>
                <w:lang w:bidi="ar"/>
              </w:rPr>
            </w:pPr>
            <w:r>
              <w:rPr>
                <w:rFonts w:hint="eastAsia" w:ascii="宋体" w:hAnsi="宋体" w:cs="宋体"/>
                <w:kern w:val="0"/>
                <w:sz w:val="24"/>
                <w:szCs w:val="24"/>
                <w:lang w:bidi="ar"/>
              </w:rPr>
              <w:t>每半年一次</w:t>
            </w:r>
          </w:p>
        </w:tc>
      </w:tr>
    </w:tbl>
    <w:p>
      <w:pPr>
        <w:pStyle w:val="3"/>
        <w:rPr>
          <w:rFonts w:hint="eastAsia" w:ascii="仿宋_GB2312" w:hAnsi="仿宋_GB2312" w:eastAsia="仿宋_GB2312" w:cs="仿宋_GB2312"/>
        </w:rPr>
      </w:pPr>
      <w:bookmarkStart w:id="5" w:name="OLE_LINK15"/>
      <w:r>
        <w:rPr>
          <w:rFonts w:hint="eastAsia" w:ascii="仿宋_GB2312" w:hAnsi="仿宋_GB2312" w:eastAsia="仿宋_GB2312" w:cs="仿宋_GB2312"/>
        </w:rPr>
        <w:t>服务响应方式</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服务期内，服务商提供7*24小时技术服务热线和远程接入服务，在接到客户故障申报后，将首先进行远程故障分析与处理，及时排除故障。</w:t>
      </w:r>
    </w:p>
    <w:p>
      <w:pPr>
        <w:pStyle w:val="3"/>
        <w:rPr>
          <w:rFonts w:hint="eastAsia" w:ascii="仿宋_GB2312" w:hAnsi="仿宋_GB2312" w:eastAsia="仿宋_GB2312" w:cs="仿宋_GB2312"/>
        </w:rPr>
      </w:pPr>
      <w:r>
        <w:rPr>
          <w:rFonts w:hint="eastAsia"/>
        </w:rPr>
        <w:t>其它要求</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须承诺对本服务项目数据资料、过程材料及成果负保密责任并妥善保管，不外流项目中获取的水利数据资料，不以任何目的、方式、方法、手段转让或提供给第三方，包括但不限于：资料进行单位换算、介质转换或者量度变换后形成的资料，以及对其进行实质性加工后形成的资料，若出现保管不当或使用不当或转让或提供给第三方，造成水利资料遗失泄密的，将承担一切法律责任。服务商在从事服务期间，必须遵守国家保密相关的法律法规以及我单位保密相关的规章制度，与我单位签订保密协议，履行保密相关职责。</w:t>
      </w:r>
    </w:p>
    <w:bookmarkEnd w:id="5"/>
    <w:p>
      <w:pPr>
        <w:pStyle w:val="2"/>
        <w:rPr>
          <w:rFonts w:hint="eastAsia"/>
        </w:rPr>
      </w:pPr>
      <w:r>
        <w:rPr>
          <w:rFonts w:hint="eastAsia"/>
        </w:rPr>
        <w:t>三、服务考核与评价要求</w:t>
      </w:r>
    </w:p>
    <w:p>
      <w:pPr>
        <w:pStyle w:val="3"/>
        <w:numPr>
          <w:ilvl w:val="0"/>
          <w:numId w:val="11"/>
        </w:numPr>
        <w:rPr>
          <w:rFonts w:hint="eastAsia"/>
        </w:rPr>
      </w:pPr>
      <w:bookmarkStart w:id="6" w:name="_Toc179270947"/>
      <w:r>
        <w:rPr>
          <w:rFonts w:hint="eastAsia"/>
        </w:rPr>
        <w:t>考核周期</w:t>
      </w:r>
      <w:bookmarkEnd w:id="6"/>
    </w:p>
    <w:p>
      <w:pPr>
        <w:spacing w:line="520" w:lineRule="exact"/>
        <w:ind w:firstLine="640" w:firstLineChars="200"/>
        <w:rPr>
          <w:rFonts w:hint="eastAsia" w:ascii="宋体" w:hAnsi="宋体" w:cs="Arial"/>
          <w:szCs w:val="24"/>
        </w:rPr>
      </w:pPr>
      <w:r>
        <w:rPr>
          <w:rFonts w:hint="eastAsia" w:ascii="仿宋_GB2312" w:hAnsi="仿宋_GB2312" w:eastAsia="仿宋_GB2312" w:cs="仿宋_GB2312"/>
          <w:kern w:val="0"/>
          <w:sz w:val="32"/>
          <w:szCs w:val="32"/>
        </w:rPr>
        <w:t>服务考核周期为每年考核1次。通过每年开展服务考核评估工作，客观评价服务成果。</w:t>
      </w:r>
    </w:p>
    <w:p>
      <w:pPr>
        <w:pStyle w:val="3"/>
        <w:spacing w:before="163" w:after="163"/>
        <w:rPr>
          <w:rFonts w:hint="eastAsia"/>
        </w:rPr>
      </w:pPr>
      <w:bookmarkStart w:id="7" w:name="_Toc179270948"/>
      <w:r>
        <w:rPr>
          <w:rFonts w:hint="eastAsia" w:ascii="Arial" w:hAnsi="Arial" w:cs="宋体"/>
        </w:rPr>
        <w:t>评价内容</w:t>
      </w:r>
      <w:bookmarkEnd w:id="7"/>
    </w:p>
    <w:p>
      <w:pPr>
        <w:spacing w:line="520" w:lineRule="exact"/>
        <w:ind w:firstLine="640" w:firstLineChars="200"/>
        <w:rPr>
          <w:rFonts w:hint="eastAsia" w:ascii="宋体" w:hAnsi="宋体" w:cs="Arial"/>
          <w:szCs w:val="24"/>
          <w:lang w:bidi="ar"/>
        </w:rPr>
      </w:pPr>
      <w:r>
        <w:rPr>
          <w:rFonts w:hint="eastAsia" w:ascii="仿宋_GB2312" w:hAnsi="仿宋_GB2312" w:eastAsia="仿宋_GB2312" w:cs="仿宋_GB2312"/>
          <w:kern w:val="0"/>
          <w:sz w:val="32"/>
          <w:szCs w:val="32"/>
        </w:rPr>
        <w:t xml:space="preserve">服务到期后，采购人将对服务商提供的服务进行考核，考核内容和考评标准内容如下： </w:t>
      </w:r>
    </w:p>
    <w:tbl>
      <w:tblPr>
        <w:tblStyle w:val="15"/>
        <w:tblW w:w="5000" w:type="pct"/>
        <w:tblInd w:w="0" w:type="dxa"/>
        <w:tblLayout w:type="fixed"/>
        <w:tblCellMar>
          <w:top w:w="0" w:type="dxa"/>
          <w:left w:w="108" w:type="dxa"/>
          <w:bottom w:w="0" w:type="dxa"/>
          <w:right w:w="108" w:type="dxa"/>
        </w:tblCellMar>
      </w:tblPr>
      <w:tblGrid>
        <w:gridCol w:w="416"/>
        <w:gridCol w:w="1022"/>
        <w:gridCol w:w="2339"/>
        <w:gridCol w:w="3947"/>
        <w:gridCol w:w="798"/>
      </w:tblGrid>
      <w:tr>
        <w:tblPrEx>
          <w:tblCellMar>
            <w:top w:w="0" w:type="dxa"/>
            <w:left w:w="108" w:type="dxa"/>
            <w:bottom w:w="0" w:type="dxa"/>
            <w:right w:w="108" w:type="dxa"/>
          </w:tblCellMar>
        </w:tblPrEx>
        <w:trPr>
          <w:trHeight w:val="539" w:hRule="atLeast"/>
          <w:tblHeader/>
        </w:trPr>
        <w:tc>
          <w:tcPr>
            <w:tcW w:w="844" w:type="pct"/>
            <w:gridSpan w:val="2"/>
            <w:tcBorders>
              <w:top w:val="double" w:color="auto" w:sz="6" w:space="0"/>
              <w:left w:val="double" w:color="auto" w:sz="6" w:space="0"/>
              <w:bottom w:val="single" w:color="auto" w:sz="8" w:space="0"/>
              <w:right w:val="single" w:color="auto" w:sz="8" w:space="0"/>
            </w:tcBorders>
            <w:shd w:val="clear" w:color="000000" w:fill="D0CECE"/>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服务类别</w:t>
            </w:r>
          </w:p>
        </w:tc>
        <w:tc>
          <w:tcPr>
            <w:tcW w:w="1372" w:type="pct"/>
            <w:tcBorders>
              <w:top w:val="double" w:color="auto" w:sz="6" w:space="0"/>
              <w:left w:val="nil"/>
              <w:bottom w:val="single" w:color="auto" w:sz="8" w:space="0"/>
              <w:right w:val="single" w:color="auto" w:sz="8" w:space="0"/>
            </w:tcBorders>
            <w:shd w:val="clear" w:color="000000" w:fill="D0CECE"/>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服务内容</w:t>
            </w:r>
          </w:p>
        </w:tc>
        <w:tc>
          <w:tcPr>
            <w:tcW w:w="2316" w:type="pct"/>
            <w:tcBorders>
              <w:top w:val="double" w:color="auto" w:sz="6" w:space="0"/>
              <w:left w:val="nil"/>
              <w:bottom w:val="single" w:color="auto" w:sz="8" w:space="0"/>
              <w:right w:val="single" w:color="auto" w:sz="8" w:space="0"/>
            </w:tcBorders>
            <w:shd w:val="clear" w:color="000000" w:fill="D0CECE"/>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服务质量考核标准</w:t>
            </w:r>
          </w:p>
        </w:tc>
        <w:tc>
          <w:tcPr>
            <w:tcW w:w="468" w:type="pct"/>
            <w:tcBorders>
              <w:top w:val="double" w:color="auto" w:sz="6" w:space="0"/>
              <w:left w:val="nil"/>
              <w:bottom w:val="single" w:color="auto" w:sz="8" w:space="0"/>
              <w:right w:val="double" w:color="auto" w:sz="6" w:space="0"/>
            </w:tcBorders>
            <w:shd w:val="clear" w:color="000000" w:fill="D0CECE"/>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r>
      <w:tr>
        <w:tblPrEx>
          <w:tblCellMar>
            <w:top w:w="0" w:type="dxa"/>
            <w:left w:w="108" w:type="dxa"/>
            <w:bottom w:w="0" w:type="dxa"/>
            <w:right w:w="108" w:type="dxa"/>
          </w:tblCellMar>
        </w:tblPrEx>
        <w:trPr>
          <w:trHeight w:val="588" w:hRule="atLeast"/>
        </w:trPr>
        <w:tc>
          <w:tcPr>
            <w:tcW w:w="844" w:type="pct"/>
            <w:gridSpan w:val="2"/>
            <w:vMerge w:val="restart"/>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保密规定</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保证所服务系统和数据的安全，未经许可不得泄露任何数据。</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每违反一次，视影响程度扣1-2分;若给甲方造成负面影响的，加重扣分，直至该分项扣完为止。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876" w:hRule="atLeast"/>
        </w:trPr>
        <w:tc>
          <w:tcPr>
            <w:tcW w:w="844" w:type="pct"/>
            <w:gridSpan w:val="2"/>
            <w:vMerge w:val="continue"/>
            <w:tcBorders>
              <w:top w:val="single" w:color="auto" w:sz="8" w:space="0"/>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只能在甲方许可的系统范围内提供服务，不得利用工作之便非法侵入或尝试侵入其他系统。</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每违反一次，视影响程度扣1-2分;若给甲方造成负面影响的，加重扣分，直至该分项扣完为止。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588" w:hRule="atLeast"/>
        </w:trPr>
        <w:tc>
          <w:tcPr>
            <w:tcW w:w="844" w:type="pct"/>
            <w:gridSpan w:val="2"/>
            <w:vMerge w:val="restart"/>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整体服务服务质量</w:t>
            </w:r>
          </w:p>
        </w:tc>
        <w:tc>
          <w:tcPr>
            <w:tcW w:w="1372"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在服务过程中，出现服务投诉。</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在服务过程中，服务人员未及时进行响应，每发现1次扣0.5分，扣完为止。</w:t>
            </w:r>
          </w:p>
        </w:tc>
        <w:tc>
          <w:tcPr>
            <w:tcW w:w="468" w:type="pct"/>
            <w:vMerge w:val="restart"/>
            <w:tcBorders>
              <w:top w:val="nil"/>
              <w:left w:val="single" w:color="auto" w:sz="8" w:space="0"/>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tblPrEx>
          <w:tblCellMar>
            <w:top w:w="0" w:type="dxa"/>
            <w:left w:w="108" w:type="dxa"/>
            <w:bottom w:w="0" w:type="dxa"/>
            <w:right w:w="108" w:type="dxa"/>
          </w:tblCellMar>
        </w:tblPrEx>
        <w:trPr>
          <w:trHeight w:val="588" w:hRule="atLeast"/>
        </w:trPr>
        <w:tc>
          <w:tcPr>
            <w:tcW w:w="844" w:type="pct"/>
            <w:gridSpan w:val="2"/>
            <w:vMerge w:val="continue"/>
            <w:tcBorders>
              <w:top w:val="single" w:color="auto" w:sz="8" w:space="0"/>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1372" w:type="pct"/>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服务出现遗漏或错误 ,被发现并造成影响,1次扣0.5分，扣完为止。</w:t>
            </w:r>
          </w:p>
        </w:tc>
        <w:tc>
          <w:tcPr>
            <w:tcW w:w="468" w:type="pct"/>
            <w:vMerge w:val="continue"/>
            <w:tcBorders>
              <w:top w:val="nil"/>
              <w:left w:val="single" w:color="auto" w:sz="8" w:space="0"/>
              <w:bottom w:val="single" w:color="auto" w:sz="8" w:space="0"/>
              <w:right w:val="double" w:color="auto" w:sz="6"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88" w:hRule="atLeast"/>
        </w:trPr>
        <w:tc>
          <w:tcPr>
            <w:tcW w:w="844" w:type="pct"/>
            <w:gridSpan w:val="2"/>
            <w:vMerge w:val="continue"/>
            <w:tcBorders>
              <w:top w:val="single" w:color="auto" w:sz="8" w:space="0"/>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1372" w:type="pct"/>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每投诉一次并经核实属于服务方问题引起的扣1分，扣完为止。</w:t>
            </w:r>
          </w:p>
        </w:tc>
        <w:tc>
          <w:tcPr>
            <w:tcW w:w="468" w:type="pct"/>
            <w:vMerge w:val="continue"/>
            <w:tcBorders>
              <w:top w:val="nil"/>
              <w:left w:val="single" w:color="auto" w:sz="8" w:space="0"/>
              <w:bottom w:val="single" w:color="auto" w:sz="8" w:space="0"/>
              <w:right w:val="double" w:color="auto" w:sz="6"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88" w:hRule="atLeast"/>
        </w:trPr>
        <w:tc>
          <w:tcPr>
            <w:tcW w:w="244" w:type="pct"/>
            <w:vMerge w:val="restart"/>
            <w:tcBorders>
              <w:top w:val="nil"/>
              <w:left w:val="double" w:color="auto" w:sz="6"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日常运维服务</w:t>
            </w: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系统巡检服务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提供每天3次巡检服务。</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服务期的工作日，提供每天3次巡检服务，并将巡检结果向甲方通报并记录，无故未巡检，每次扣0.5分，直至该分项扣完为止。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汇聚任务巡检服务</w:t>
            </w:r>
          </w:p>
        </w:tc>
        <w:tc>
          <w:tcPr>
            <w:tcW w:w="1372" w:type="pct"/>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每月开展一次汇聚任务巡检服务。</w:t>
            </w:r>
          </w:p>
        </w:tc>
        <w:tc>
          <w:tcPr>
            <w:tcW w:w="2316" w:type="pct"/>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未能按照约定提供汇聚任务巡检服务，无故未巡检，每次扣0.5分，直至该分项扣完为止。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数据库日常运维</w:t>
            </w:r>
          </w:p>
        </w:tc>
        <w:tc>
          <w:tcPr>
            <w:tcW w:w="1372" w:type="pct"/>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提供数据库日常运维服务。</w:t>
            </w:r>
          </w:p>
        </w:tc>
        <w:tc>
          <w:tcPr>
            <w:tcW w:w="2316" w:type="pct"/>
            <w:tcBorders>
              <w:top w:val="nil"/>
              <w:left w:val="nil"/>
              <w:bottom w:val="single" w:color="auto" w:sz="8" w:space="0"/>
              <w:right w:val="single" w:color="auto" w:sz="8" w:space="0"/>
            </w:tcBorders>
            <w:shd w:val="clear" w:color="auto" w:fill="auto"/>
            <w:noWrap/>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未能按照约定提供数据库日常运维服务，每次扣0.5分，直至该分项扣完为止。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588"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故障处置服务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7*24 小时及时响应故障，并在2小时内做出明确响应和安排。</w:t>
            </w:r>
          </w:p>
        </w:tc>
        <w:tc>
          <w:tcPr>
            <w:tcW w:w="2316"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未及时响应故障，每违反一次扣0.5分;未及时反馈故障处理情况的，每次扣0.5分，直至该分项扣完为止。</w:t>
            </w:r>
          </w:p>
        </w:tc>
        <w:tc>
          <w:tcPr>
            <w:tcW w:w="468" w:type="pct"/>
            <w:vMerge w:val="restart"/>
            <w:tcBorders>
              <w:top w:val="nil"/>
              <w:left w:val="single" w:color="auto" w:sz="8" w:space="0"/>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问题处理完毕后，24 小时内将情况反馈甲方。</w:t>
            </w:r>
          </w:p>
        </w:tc>
        <w:tc>
          <w:tcPr>
            <w:tcW w:w="2316" w:type="pct"/>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468" w:type="pct"/>
            <w:vMerge w:val="continue"/>
            <w:tcBorders>
              <w:top w:val="nil"/>
              <w:left w:val="single" w:color="auto" w:sz="8" w:space="0"/>
              <w:bottom w:val="single" w:color="auto" w:sz="8" w:space="0"/>
              <w:right w:val="double" w:color="auto" w:sz="6"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876"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安全加固服务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对操作系统、中间件和软件系统等进行加固。</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根据等保测评等安全检测机构出具的漏洞整改和安全加固意见进行修复，无故未整改，每次扣0.5分，直至该分项扣完为止。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876"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重要时期运维保障服务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提供重大运维保障服务。</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提供领导参观、重要节假日、国家重要活动、攻防演练、防汛等重要时期 7*24 小时驻点或远程重点保障，未及时响应，每违反1次扣0.5分，直至该分项扣完为止。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244" w:type="pct"/>
            <w:vMerge w:val="restart"/>
            <w:tcBorders>
              <w:top w:val="nil"/>
              <w:left w:val="double" w:color="auto" w:sz="6"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数据运营服务</w:t>
            </w: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数据汇聚服务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提供水利厅各单位信息化系统数据汇聚。</w:t>
            </w:r>
          </w:p>
        </w:tc>
        <w:tc>
          <w:tcPr>
            <w:tcW w:w="2316" w:type="pct"/>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未能按照约定提供数据汇聚服务，每发现1次扣0.5分，直至该分项扣完为止。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数据共享服务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厅内数据共享、数据共享至省汇聚共享平台。</w:t>
            </w:r>
          </w:p>
        </w:tc>
        <w:tc>
          <w:tcPr>
            <w:tcW w:w="2316" w:type="pct"/>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未能按照约定提供数据共享服务，每发现1次扣0.5分，直至该分项扣完为止。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876"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与省汇聚共享平台日常对接服务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与省汇聚共享平台对接，提供超期更新数据表处理、问题数据处理、数据对账服务。</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未按照约定及时提醒业主或厂商进行整改，每发现1次扣0.5分，直至该分项扣完为止。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244" w:type="pct"/>
            <w:vMerge w:val="continue"/>
            <w:tcBorders>
              <w:top w:val="nil"/>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600"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数据安全保障服务</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配合厅里数据安全总体要求，开展数据安全保障服务。</w:t>
            </w:r>
          </w:p>
        </w:tc>
        <w:tc>
          <w:tcPr>
            <w:tcW w:w="2316" w:type="pct"/>
            <w:tcBorders>
              <w:top w:val="nil"/>
              <w:left w:val="nil"/>
              <w:bottom w:val="single" w:color="auto" w:sz="8" w:space="0"/>
              <w:right w:val="single" w:color="auto" w:sz="8" w:space="0"/>
            </w:tcBorders>
            <w:shd w:val="clear" w:color="auto" w:fill="auto"/>
            <w:vAlign w:val="center"/>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未能按照约定提供数据安全保障服务，每发现1次扣0.5分，直至该分项扣完为止。</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588" w:hRule="atLeast"/>
        </w:trPr>
        <w:tc>
          <w:tcPr>
            <w:tcW w:w="844" w:type="pct"/>
            <w:gridSpan w:val="2"/>
            <w:vMerge w:val="restart"/>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服务报告</w:t>
            </w:r>
          </w:p>
        </w:tc>
        <w:tc>
          <w:tcPr>
            <w:tcW w:w="1372" w:type="pct"/>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服务成果</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未按照约定及时提交服务报告或服务成果，每发现1次扣0.5分，直至该分项扣完为止。</w:t>
            </w:r>
          </w:p>
        </w:tc>
        <w:tc>
          <w:tcPr>
            <w:tcW w:w="468" w:type="pct"/>
            <w:vMerge w:val="restart"/>
            <w:tcBorders>
              <w:top w:val="nil"/>
              <w:left w:val="single" w:color="auto" w:sz="8" w:space="0"/>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tblPrEx>
          <w:tblCellMar>
            <w:top w:w="0" w:type="dxa"/>
            <w:left w:w="108" w:type="dxa"/>
            <w:bottom w:w="0" w:type="dxa"/>
            <w:right w:w="108" w:type="dxa"/>
          </w:tblCellMar>
        </w:tblPrEx>
        <w:trPr>
          <w:trHeight w:val="588" w:hRule="atLeast"/>
        </w:trPr>
        <w:tc>
          <w:tcPr>
            <w:tcW w:w="844" w:type="pct"/>
            <w:gridSpan w:val="2"/>
            <w:vMerge w:val="continue"/>
            <w:tcBorders>
              <w:top w:val="single" w:color="auto" w:sz="8" w:space="0"/>
              <w:left w:val="double" w:color="auto" w:sz="6"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1372" w:type="pct"/>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color w:val="000000"/>
                <w:kern w:val="0"/>
                <w:sz w:val="24"/>
                <w:szCs w:val="24"/>
              </w:rPr>
            </w:pP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报告出现以下错误:内容不符、描述不清、前后不一致、严重文字错误的,每发现 1次扣 0.5分，直至该分项扣完为止。</w:t>
            </w:r>
          </w:p>
        </w:tc>
        <w:tc>
          <w:tcPr>
            <w:tcW w:w="468" w:type="pct"/>
            <w:vMerge w:val="continue"/>
            <w:tcBorders>
              <w:top w:val="nil"/>
              <w:left w:val="single" w:color="auto" w:sz="8" w:space="0"/>
              <w:bottom w:val="single" w:color="auto" w:sz="8" w:space="0"/>
              <w:right w:val="double" w:color="auto" w:sz="6" w:space="0"/>
            </w:tcBorders>
            <w:vAlign w:val="center"/>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844" w:type="pct"/>
            <w:gridSpan w:val="2"/>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服务评价</w:t>
            </w:r>
          </w:p>
        </w:tc>
        <w:tc>
          <w:tcPr>
            <w:tcW w:w="1372"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服务考核</w:t>
            </w:r>
          </w:p>
        </w:tc>
        <w:tc>
          <w:tcPr>
            <w:tcW w:w="2316" w:type="pct"/>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甲方对乙方人员工作情况和工作满意度打分。</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300" w:hRule="atLeast"/>
        </w:trPr>
        <w:tc>
          <w:tcPr>
            <w:tcW w:w="4532" w:type="pct"/>
            <w:gridSpan w:val="4"/>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总分</w:t>
            </w:r>
          </w:p>
        </w:tc>
        <w:tc>
          <w:tcPr>
            <w:tcW w:w="468" w:type="pct"/>
            <w:tcBorders>
              <w:top w:val="nil"/>
              <w:left w:val="nil"/>
              <w:bottom w:val="single" w:color="auto" w:sz="8" w:space="0"/>
              <w:right w:val="double" w:color="auto" w:sz="6" w:space="0"/>
            </w:tcBorders>
            <w:shd w:val="clear" w:color="auto" w:fill="auto"/>
            <w:vAlign w:val="center"/>
          </w:tcPr>
          <w:p>
            <w:pPr>
              <w:widowControl/>
              <w:jc w:val="righ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100</w:t>
            </w:r>
          </w:p>
        </w:tc>
      </w:tr>
      <w:tr>
        <w:tblPrEx>
          <w:tblCellMar>
            <w:top w:w="0" w:type="dxa"/>
            <w:left w:w="108" w:type="dxa"/>
            <w:bottom w:w="0" w:type="dxa"/>
            <w:right w:w="108" w:type="dxa"/>
          </w:tblCellMar>
        </w:tblPrEx>
        <w:trPr>
          <w:trHeight w:val="300" w:hRule="atLeast"/>
        </w:trPr>
        <w:tc>
          <w:tcPr>
            <w:tcW w:w="5000" w:type="pct"/>
            <w:gridSpan w:val="5"/>
            <w:tcBorders>
              <w:top w:val="single" w:color="auto" w:sz="8" w:space="0"/>
              <w:left w:val="double" w:color="auto" w:sz="6" w:space="0"/>
              <w:bottom w:val="double" w:color="auto" w:sz="6" w:space="0"/>
              <w:right w:val="double" w:color="000000" w:sz="6"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注:由于计划内停机维护、应急演练、不可抗力因素，不在本表考核范围内。</w:t>
            </w:r>
          </w:p>
        </w:tc>
      </w:tr>
    </w:tbl>
    <w:p>
      <w:pPr>
        <w:pStyle w:val="3"/>
        <w:spacing w:before="163" w:after="163"/>
        <w:rPr>
          <w:rFonts w:hint="eastAsia"/>
        </w:rPr>
      </w:pPr>
      <w:bookmarkStart w:id="8" w:name="_Toc179270949"/>
      <w:r>
        <w:rPr>
          <w:rFonts w:hint="eastAsia" w:ascii="Arial" w:hAnsi="Arial" w:cs="宋体"/>
        </w:rPr>
        <w:t>考核评估与监督</w:t>
      </w:r>
      <w:bookmarkEnd w:id="8"/>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为确保系统运维保障服务能达到采购人的业务实际需求，同时保证服务质量。具体考核与付款规则要求如下：</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考核分数达到90分及以上，全额支付服务费用。</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考核分数在80-89之间，支付服务费用的9</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考核分数在70-79之间，支付服务费用的</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0%。</w:t>
      </w:r>
    </w:p>
    <w:p>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考核分数在60-69之间，采购人方有权扣除该阶段所有技术服务费用。</w:t>
      </w:r>
    </w:p>
    <w:p>
      <w:pPr>
        <w:spacing w:line="520" w:lineRule="exact"/>
        <w:ind w:firstLine="640" w:firstLineChars="200"/>
        <w:rPr>
          <w:rFonts w:hint="default" w:ascii="仿宋_GB2312" w:hAnsi="仿宋_GB2312" w:eastAsia="仿宋_GB2312" w:cs="仿宋_GB2312"/>
          <w:kern w:val="0"/>
          <w:sz w:val="32"/>
          <w:szCs w:val="32"/>
          <w:lang w:val="en-US" w:eastAsia="zh-CN"/>
        </w:rPr>
      </w:pPr>
    </w:p>
    <w:p>
      <w:pPr>
        <w:pStyle w:val="2"/>
      </w:pPr>
      <w:r>
        <w:rPr>
          <w:rFonts w:hint="eastAsia"/>
        </w:rPr>
        <w:t>四、付款方式</w:t>
      </w:r>
    </w:p>
    <w:tbl>
      <w:tblPr>
        <w:tblStyle w:val="1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9"/>
        <w:gridCol w:w="1438"/>
        <w:gridCol w:w="5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blHeader/>
          <w:tblCellSpacing w:w="0" w:type="dxa"/>
        </w:trPr>
        <w:tc>
          <w:tcPr>
            <w:tcW w:w="116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b/>
                <w:bCs/>
                <w:kern w:val="0"/>
                <w:sz w:val="24"/>
                <w:szCs w:val="32"/>
              </w:rPr>
            </w:pPr>
            <w:r>
              <w:rPr>
                <w:rFonts w:ascii="宋体" w:hAnsi="宋体" w:cs="宋体"/>
                <w:b/>
                <w:bCs/>
                <w:kern w:val="0"/>
                <w:sz w:val="24"/>
                <w:szCs w:val="32"/>
              </w:rPr>
              <w:t>支付期次</w:t>
            </w:r>
          </w:p>
        </w:tc>
        <w:tc>
          <w:tcPr>
            <w:tcW w:w="143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b/>
                <w:bCs/>
                <w:kern w:val="0"/>
                <w:sz w:val="24"/>
                <w:szCs w:val="32"/>
              </w:rPr>
            </w:pPr>
            <w:r>
              <w:rPr>
                <w:rFonts w:ascii="宋体" w:hAnsi="宋体" w:cs="宋体"/>
                <w:b/>
                <w:bCs/>
                <w:kern w:val="0"/>
                <w:sz w:val="24"/>
                <w:szCs w:val="32"/>
              </w:rPr>
              <w:t>支付比例(%)</w:t>
            </w:r>
          </w:p>
        </w:tc>
        <w:tc>
          <w:tcPr>
            <w:tcW w:w="5697"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b/>
                <w:bCs/>
                <w:kern w:val="0"/>
                <w:sz w:val="24"/>
                <w:szCs w:val="32"/>
              </w:rPr>
            </w:pPr>
            <w:r>
              <w:rPr>
                <w:rFonts w:ascii="宋体" w:hAnsi="宋体" w:cs="宋体"/>
                <w:b/>
                <w:bCs/>
                <w:kern w:val="0"/>
                <w:sz w:val="24"/>
                <w:szCs w:val="32"/>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4"/>
                <w:szCs w:val="32"/>
              </w:rPr>
            </w:pPr>
            <w:r>
              <w:rPr>
                <w:rFonts w:ascii="宋体" w:hAnsi="宋体" w:cs="宋体"/>
                <w:kern w:val="0"/>
                <w:sz w:val="24"/>
                <w:szCs w:val="32"/>
              </w:rPr>
              <w:t>1</w:t>
            </w:r>
          </w:p>
        </w:tc>
        <w:tc>
          <w:tcPr>
            <w:tcW w:w="143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4"/>
                <w:szCs w:val="32"/>
              </w:rPr>
            </w:pPr>
            <w:r>
              <w:rPr>
                <w:rFonts w:hint="eastAsia" w:ascii="宋体" w:hAnsi="宋体" w:cs="宋体"/>
                <w:kern w:val="0"/>
                <w:sz w:val="24"/>
                <w:szCs w:val="32"/>
              </w:rPr>
              <w:t>5</w:t>
            </w:r>
            <w:r>
              <w:rPr>
                <w:rFonts w:ascii="宋体" w:hAnsi="宋体" w:cs="宋体"/>
                <w:kern w:val="0"/>
                <w:sz w:val="24"/>
                <w:szCs w:val="32"/>
              </w:rPr>
              <w:t>0</w:t>
            </w:r>
          </w:p>
        </w:tc>
        <w:tc>
          <w:tcPr>
            <w:tcW w:w="5697" w:type="dxa"/>
            <w:tcBorders>
              <w:top w:val="outset" w:color="auto" w:sz="6" w:space="0"/>
              <w:left w:val="outset" w:color="auto" w:sz="6" w:space="0"/>
              <w:bottom w:val="outset" w:color="auto" w:sz="6" w:space="0"/>
              <w:right w:val="outset" w:color="auto" w:sz="6" w:space="0"/>
            </w:tcBorders>
            <w:vAlign w:val="center"/>
          </w:tcPr>
          <w:p>
            <w:pPr>
              <w:rPr>
                <w:rFonts w:hint="eastAsia" w:ascii="宋体" w:hAnsi="宋体" w:cs="宋体"/>
                <w:kern w:val="0"/>
                <w:sz w:val="24"/>
                <w:szCs w:val="32"/>
              </w:rPr>
            </w:pPr>
            <w:r>
              <w:rPr>
                <w:rFonts w:hint="eastAsia" w:ascii="宋体" w:hAnsi="宋体" w:cs="宋体"/>
                <w:kern w:val="0"/>
                <w:sz w:val="24"/>
                <w:szCs w:val="32"/>
              </w:rPr>
              <w:t>合同签订后，服务商运维1个月，</w:t>
            </w:r>
            <w:r>
              <w:rPr>
                <w:rFonts w:hint="eastAsia" w:ascii="宋体" w:hAnsi="宋体" w:cs="宋体"/>
                <w:kern w:val="0"/>
                <w:sz w:val="24"/>
                <w:szCs w:val="32"/>
                <w:lang w:val="en-US" w:eastAsia="zh-CN"/>
              </w:rPr>
              <w:t>一个月到期</w:t>
            </w:r>
            <w:r>
              <w:rPr>
                <w:rFonts w:hint="eastAsia" w:ascii="宋体" w:hAnsi="宋体" w:cs="宋体"/>
                <w:kern w:val="0"/>
                <w:sz w:val="24"/>
                <w:szCs w:val="32"/>
              </w:rPr>
              <w:t>采购人对其运维内容进行考核。考核</w:t>
            </w:r>
            <w:r>
              <w:rPr>
                <w:rFonts w:hint="eastAsia" w:ascii="宋体" w:hAnsi="宋体" w:cs="宋体"/>
                <w:kern w:val="0"/>
                <w:sz w:val="24"/>
                <w:szCs w:val="32"/>
                <w:lang w:val="en-US" w:eastAsia="zh-CN"/>
              </w:rPr>
              <w:t>在90分及以上</w:t>
            </w:r>
            <w:r>
              <w:rPr>
                <w:rFonts w:hint="eastAsia" w:ascii="宋体" w:hAnsi="宋体" w:cs="宋体"/>
                <w:kern w:val="0"/>
                <w:sz w:val="24"/>
                <w:szCs w:val="32"/>
              </w:rPr>
              <w:t>，支付</w:t>
            </w:r>
            <w:r>
              <w:rPr>
                <w:rFonts w:ascii="宋体" w:hAnsi="宋体" w:cs="宋体"/>
                <w:kern w:val="0"/>
                <w:sz w:val="24"/>
                <w:szCs w:val="32"/>
              </w:rPr>
              <w:t>合</w:t>
            </w:r>
            <w:r>
              <w:rPr>
                <w:rFonts w:hint="eastAsia" w:ascii="宋体" w:hAnsi="宋体" w:cs="宋体"/>
                <w:kern w:val="0"/>
                <w:sz w:val="24"/>
                <w:szCs w:val="32"/>
              </w:rPr>
              <w:t>同</w:t>
            </w:r>
            <w:r>
              <w:rPr>
                <w:rFonts w:ascii="宋体" w:hAnsi="宋体" w:cs="宋体"/>
                <w:kern w:val="0"/>
                <w:sz w:val="24"/>
                <w:szCs w:val="32"/>
              </w:rPr>
              <w:t>总金额</w:t>
            </w:r>
            <w:r>
              <w:rPr>
                <w:rFonts w:hint="eastAsia" w:ascii="宋体" w:hAnsi="宋体" w:cs="宋体"/>
                <w:kern w:val="0"/>
                <w:sz w:val="24"/>
                <w:szCs w:val="32"/>
              </w:rPr>
              <w:t>5</w:t>
            </w:r>
            <w:r>
              <w:rPr>
                <w:rFonts w:ascii="宋体" w:hAnsi="宋体" w:cs="宋体"/>
                <w:kern w:val="0"/>
                <w:sz w:val="24"/>
                <w:szCs w:val="32"/>
              </w:rPr>
              <w:t>0</w:t>
            </w:r>
            <w:r>
              <w:rPr>
                <w:rFonts w:hint="eastAsia" w:ascii="宋体" w:hAnsi="宋体" w:cs="宋体"/>
                <w:kern w:val="0"/>
                <w:sz w:val="24"/>
                <w:szCs w:val="32"/>
              </w:rPr>
              <w:t>%的首付款，</w:t>
            </w:r>
            <w:r>
              <w:rPr>
                <w:rFonts w:ascii="宋体" w:hAnsi="宋体" w:cs="宋体"/>
                <w:kern w:val="0"/>
                <w:sz w:val="24"/>
                <w:szCs w:val="32"/>
              </w:rPr>
              <w:t>成交</w:t>
            </w:r>
            <w:r>
              <w:rPr>
                <w:rFonts w:hint="eastAsia" w:ascii="宋体" w:hAnsi="宋体" w:cs="宋体"/>
                <w:kern w:val="0"/>
                <w:sz w:val="24"/>
                <w:szCs w:val="32"/>
              </w:rPr>
              <w:t>服务</w:t>
            </w:r>
            <w:r>
              <w:rPr>
                <w:rFonts w:ascii="宋体" w:hAnsi="宋体" w:cs="宋体"/>
                <w:kern w:val="0"/>
                <w:sz w:val="24"/>
                <w:szCs w:val="32"/>
              </w:rPr>
              <w:t>商开具等额正式税务发票收取相应款项</w:t>
            </w:r>
            <w:r>
              <w:rPr>
                <w:rFonts w:hint="eastAsia" w:ascii="宋体" w:hAnsi="宋体" w:cs="宋体"/>
                <w:kern w:val="0"/>
                <w:sz w:val="24"/>
                <w:szCs w:val="32"/>
              </w:rPr>
              <w:t>；考核</w:t>
            </w:r>
            <w:r>
              <w:rPr>
                <w:rFonts w:hint="eastAsia" w:ascii="宋体" w:hAnsi="宋体" w:cs="宋体"/>
                <w:kern w:val="0"/>
                <w:sz w:val="24"/>
                <w:szCs w:val="32"/>
                <w:lang w:val="en-US" w:eastAsia="zh-CN"/>
              </w:rPr>
              <w:t>未达到90分</w:t>
            </w:r>
            <w:r>
              <w:rPr>
                <w:rFonts w:hint="eastAsia" w:ascii="宋体" w:hAnsi="宋体" w:cs="宋体"/>
                <w:kern w:val="0"/>
                <w:sz w:val="24"/>
                <w:szCs w:val="32"/>
              </w:rPr>
              <w:t>，采购人有权不予支付首付款</w:t>
            </w:r>
            <w:r>
              <w:rPr>
                <w:rFonts w:hint="eastAsia" w:ascii="宋体" w:hAnsi="宋体" w:cs="宋体"/>
                <w:kern w:val="0"/>
                <w:sz w:val="24"/>
                <w:szCs w:val="32"/>
                <w:lang w:val="en-US" w:eastAsia="zh-CN"/>
              </w:rPr>
              <w:t>及取消合同</w:t>
            </w:r>
            <w:r>
              <w:rPr>
                <w:rFonts w:hint="eastAsia" w:ascii="宋体" w:hAnsi="宋体" w:cs="宋体"/>
                <w:kern w:val="0"/>
                <w:sz w:val="24"/>
                <w:szCs w:val="32"/>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4"/>
                <w:szCs w:val="32"/>
              </w:rPr>
            </w:pPr>
            <w:r>
              <w:rPr>
                <w:rFonts w:hint="eastAsia" w:ascii="宋体" w:hAnsi="宋体" w:cs="宋体"/>
                <w:kern w:val="0"/>
                <w:sz w:val="24"/>
                <w:szCs w:val="32"/>
              </w:rPr>
              <w:t>2</w:t>
            </w:r>
          </w:p>
        </w:tc>
        <w:tc>
          <w:tcPr>
            <w:tcW w:w="143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kern w:val="0"/>
                <w:sz w:val="24"/>
                <w:szCs w:val="32"/>
              </w:rPr>
            </w:pPr>
            <w:r>
              <w:rPr>
                <w:rFonts w:hint="eastAsia" w:ascii="宋体" w:hAnsi="宋体" w:cs="宋体"/>
                <w:kern w:val="0"/>
                <w:sz w:val="24"/>
                <w:szCs w:val="32"/>
              </w:rPr>
              <w:t>5</w:t>
            </w:r>
            <w:r>
              <w:rPr>
                <w:rFonts w:ascii="宋体" w:hAnsi="宋体" w:cs="宋体"/>
                <w:kern w:val="0"/>
                <w:sz w:val="24"/>
                <w:szCs w:val="32"/>
              </w:rPr>
              <w:t>0</w:t>
            </w:r>
          </w:p>
        </w:tc>
        <w:tc>
          <w:tcPr>
            <w:tcW w:w="5697" w:type="dxa"/>
            <w:tcBorders>
              <w:top w:val="outset" w:color="auto" w:sz="6" w:space="0"/>
              <w:left w:val="outset" w:color="auto" w:sz="6" w:space="0"/>
              <w:bottom w:val="outset" w:color="auto" w:sz="6" w:space="0"/>
              <w:right w:val="outset" w:color="auto" w:sz="6" w:space="0"/>
            </w:tcBorders>
            <w:vAlign w:val="center"/>
          </w:tcPr>
          <w:p>
            <w:pPr>
              <w:rPr>
                <w:rFonts w:hint="default" w:ascii="宋体" w:hAnsi="宋体"/>
                <w:sz w:val="24"/>
                <w:szCs w:val="32"/>
                <w:lang w:val="en-US"/>
              </w:rPr>
            </w:pPr>
            <w:r>
              <w:rPr>
                <w:rFonts w:hint="eastAsia" w:ascii="宋体" w:hAnsi="宋体"/>
                <w:sz w:val="24"/>
                <w:szCs w:val="32"/>
              </w:rPr>
              <w:t>项目</w:t>
            </w:r>
            <w:r>
              <w:rPr>
                <w:rFonts w:hint="eastAsia" w:ascii="宋体" w:hAnsi="宋体"/>
                <w:sz w:val="24"/>
                <w:szCs w:val="32"/>
                <w:lang w:val="en-US" w:eastAsia="zh-CN"/>
              </w:rPr>
              <w:t>到期</w:t>
            </w:r>
            <w:r>
              <w:rPr>
                <w:rFonts w:hint="eastAsia" w:ascii="宋体" w:hAnsi="宋体"/>
                <w:sz w:val="24"/>
                <w:szCs w:val="32"/>
              </w:rPr>
              <w:t>验收后，</w:t>
            </w:r>
            <w:r>
              <w:rPr>
                <w:rFonts w:ascii="宋体" w:hAnsi="宋体" w:cs="宋体"/>
                <w:kern w:val="0"/>
                <w:sz w:val="24"/>
                <w:szCs w:val="32"/>
              </w:rPr>
              <w:t>采购人在</w:t>
            </w:r>
            <w:r>
              <w:rPr>
                <w:rFonts w:hint="eastAsia" w:ascii="宋体" w:hAnsi="宋体" w:cs="宋体"/>
                <w:kern w:val="0"/>
                <w:sz w:val="24"/>
                <w:szCs w:val="32"/>
                <w:lang w:val="en-US" w:eastAsia="zh-CN"/>
              </w:rPr>
              <w:t>收到服务商发票的</w:t>
            </w:r>
            <w:r>
              <w:rPr>
                <w:rFonts w:hint="eastAsia" w:ascii="宋体" w:hAnsi="宋体"/>
                <w:sz w:val="24"/>
                <w:szCs w:val="32"/>
              </w:rPr>
              <w:t>7个工作日内</w:t>
            </w:r>
            <w:r>
              <w:rPr>
                <w:rFonts w:ascii="宋体" w:hAnsi="宋体" w:cs="宋体"/>
                <w:kern w:val="0"/>
                <w:sz w:val="24"/>
                <w:szCs w:val="32"/>
              </w:rPr>
              <w:t>支付合同总金额</w:t>
            </w:r>
            <w:r>
              <w:rPr>
                <w:rFonts w:hint="eastAsia" w:ascii="宋体" w:hAnsi="宋体" w:cs="宋体"/>
                <w:kern w:val="0"/>
                <w:sz w:val="24"/>
                <w:szCs w:val="32"/>
              </w:rPr>
              <w:t>5</w:t>
            </w:r>
            <w:r>
              <w:rPr>
                <w:rFonts w:ascii="宋体" w:hAnsi="宋体" w:cs="宋体"/>
                <w:kern w:val="0"/>
                <w:sz w:val="24"/>
                <w:szCs w:val="32"/>
              </w:rPr>
              <w:t>0</w:t>
            </w:r>
            <w:r>
              <w:rPr>
                <w:rFonts w:hint="eastAsia" w:ascii="宋体" w:hAnsi="宋体" w:cs="宋体"/>
                <w:kern w:val="0"/>
                <w:sz w:val="24"/>
                <w:szCs w:val="32"/>
              </w:rPr>
              <w:t>%的验收款</w:t>
            </w:r>
            <w:r>
              <w:rPr>
                <w:rFonts w:ascii="宋体" w:hAnsi="宋体" w:cs="宋体"/>
                <w:kern w:val="0"/>
                <w:sz w:val="24"/>
                <w:szCs w:val="32"/>
              </w:rPr>
              <w:t>，成交</w:t>
            </w:r>
            <w:r>
              <w:rPr>
                <w:rFonts w:hint="eastAsia" w:ascii="宋体" w:hAnsi="宋体" w:cs="宋体"/>
                <w:kern w:val="0"/>
                <w:sz w:val="24"/>
                <w:szCs w:val="32"/>
              </w:rPr>
              <w:t>服务</w:t>
            </w:r>
            <w:r>
              <w:rPr>
                <w:rFonts w:ascii="宋体" w:hAnsi="宋体" w:cs="宋体"/>
                <w:kern w:val="0"/>
                <w:sz w:val="24"/>
                <w:szCs w:val="32"/>
              </w:rPr>
              <w:t>商开具等额正式税务发票收取相应款项。</w:t>
            </w:r>
            <w:r>
              <w:rPr>
                <w:rFonts w:hint="eastAsia" w:ascii="宋体" w:hAnsi="宋体" w:cs="宋体"/>
                <w:kern w:val="0"/>
                <w:sz w:val="24"/>
                <w:szCs w:val="32"/>
                <w:lang w:val="en-US" w:eastAsia="zh-CN"/>
              </w:rPr>
              <w:t>若</w:t>
            </w:r>
            <w:r>
              <w:rPr>
                <w:rFonts w:hint="eastAsia" w:ascii="宋体" w:hAnsi="宋体"/>
                <w:sz w:val="24"/>
                <w:szCs w:val="32"/>
                <w:lang w:val="en-US" w:eastAsia="zh-CN"/>
              </w:rPr>
              <w:t>参照考核结果产生扣款项，做相应扣除。</w:t>
            </w:r>
          </w:p>
        </w:tc>
      </w:tr>
    </w:tbl>
    <w:p>
      <w:pPr>
        <w:spacing w:line="520" w:lineRule="exact"/>
        <w:ind w:firstLine="420" w:firstLineChars="200"/>
        <w:rPr>
          <w:rFonts w:hint="eastAsia"/>
        </w:rPr>
      </w:pPr>
    </w:p>
    <w:p>
      <w:pPr>
        <w:pStyle w:val="2"/>
        <w:rPr>
          <w:rFonts w:hint="eastAsia"/>
        </w:rPr>
      </w:pPr>
      <w:r>
        <w:rPr>
          <w:rFonts w:hint="eastAsia"/>
        </w:rPr>
        <w:t>五、服务期限</w:t>
      </w:r>
    </w:p>
    <w:p>
      <w:pPr>
        <w:spacing w:line="520" w:lineRule="exact"/>
        <w:ind w:firstLine="640" w:firstLineChars="200"/>
        <w:rPr>
          <w:rFonts w:hint="eastAsia" w:ascii="仿宋" w:hAnsi="仿宋" w:eastAsia="仿宋"/>
          <w:sz w:val="32"/>
          <w:szCs w:val="32"/>
        </w:rPr>
      </w:pPr>
      <w:r>
        <w:rPr>
          <w:rFonts w:hint="eastAsia" w:ascii="Times New Roman" w:hAnsi="Times New Roman" w:eastAsia="仿宋_GB2312" w:cs="Times New Roman"/>
          <w:kern w:val="0"/>
          <w:sz w:val="32"/>
          <w:szCs w:val="32"/>
        </w:rPr>
        <w:t>服务期限：合同签订之日起12个月</w:t>
      </w:r>
      <w:r>
        <w:rPr>
          <w:rFonts w:hint="eastAsia" w:ascii="仿宋_GB2312" w:hAnsi="仿宋_GB2312" w:eastAsia="仿宋_GB2312" w:cs="仿宋_GB2312"/>
          <w:kern w:val="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53DD6"/>
    <w:multiLevelType w:val="multilevel"/>
    <w:tmpl w:val="37253DD6"/>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1">
    <w:nsid w:val="3BC95D55"/>
    <w:multiLevelType w:val="multilevel"/>
    <w:tmpl w:val="3BC95D55"/>
    <w:lvl w:ilvl="0" w:tentative="0">
      <w:start w:val="1"/>
      <w:numFmt w:val="decimal"/>
      <w:pStyle w:val="6"/>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3E323932"/>
    <w:multiLevelType w:val="multilevel"/>
    <w:tmpl w:val="3E323932"/>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40926C5D"/>
    <w:multiLevelType w:val="multilevel"/>
    <w:tmpl w:val="40926C5D"/>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42B7182B"/>
    <w:multiLevelType w:val="multilevel"/>
    <w:tmpl w:val="42B7182B"/>
    <w:lvl w:ilvl="0" w:tentative="0">
      <w:start w:val="1"/>
      <w:numFmt w:val="decimal"/>
      <w:pStyle w:val="4"/>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5E4A4EE7"/>
    <w:multiLevelType w:val="multilevel"/>
    <w:tmpl w:val="5E4A4E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791D69"/>
    <w:multiLevelType w:val="multilevel"/>
    <w:tmpl w:val="78791D69"/>
    <w:lvl w:ilvl="0" w:tentative="0">
      <w:start w:val="1"/>
      <w:numFmt w:val="chineseCountingThousand"/>
      <w:pStyle w:val="3"/>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7E223547"/>
    <w:multiLevelType w:val="multilevel"/>
    <w:tmpl w:val="7E223547"/>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6"/>
  </w:num>
  <w:num w:numId="2">
    <w:abstractNumId w:val="4"/>
  </w:num>
  <w:num w:numId="3">
    <w:abstractNumId w:val="1"/>
  </w:num>
  <w:num w:numId="4">
    <w:abstractNumId w:val="3"/>
  </w:num>
  <w:num w:numId="5">
    <w:abstractNumId w:val="0"/>
  </w:num>
  <w:num w:numId="6">
    <w:abstractNumId w:val="7"/>
  </w:num>
  <w:num w:numId="7">
    <w:abstractNumId w:val="2"/>
  </w:num>
  <w:num w:numId="8">
    <w:abstractNumId w:val="4"/>
    <w:lvlOverride w:ilvl="0">
      <w:startOverride w:val="1"/>
    </w:lvlOverride>
  </w:num>
  <w:num w:numId="9">
    <w:abstractNumId w:val="6"/>
    <w:lvlOverride w:ilvl="0">
      <w:startOverride w:val="1"/>
    </w:lvlOverride>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YWUxYTY5NDViZGIwMjk0NGY2YTJhYjE5MDRkZDMifQ=="/>
  </w:docVars>
  <w:rsids>
    <w:rsidRoot w:val="00471F23"/>
    <w:rsid w:val="000050FD"/>
    <w:rsid w:val="00013AEF"/>
    <w:rsid w:val="0002294C"/>
    <w:rsid w:val="00023335"/>
    <w:rsid w:val="000241F5"/>
    <w:rsid w:val="00024F2B"/>
    <w:rsid w:val="000252A7"/>
    <w:rsid w:val="00026175"/>
    <w:rsid w:val="000311C4"/>
    <w:rsid w:val="0003152C"/>
    <w:rsid w:val="00032556"/>
    <w:rsid w:val="00036233"/>
    <w:rsid w:val="00042193"/>
    <w:rsid w:val="00044667"/>
    <w:rsid w:val="00044CAD"/>
    <w:rsid w:val="00051F1B"/>
    <w:rsid w:val="0005748E"/>
    <w:rsid w:val="00057796"/>
    <w:rsid w:val="00061479"/>
    <w:rsid w:val="00063130"/>
    <w:rsid w:val="00064437"/>
    <w:rsid w:val="000654BC"/>
    <w:rsid w:val="00067D6A"/>
    <w:rsid w:val="00071C16"/>
    <w:rsid w:val="00071F0E"/>
    <w:rsid w:val="0007293B"/>
    <w:rsid w:val="00073BFB"/>
    <w:rsid w:val="000756AE"/>
    <w:rsid w:val="0008061D"/>
    <w:rsid w:val="00081D08"/>
    <w:rsid w:val="000834BE"/>
    <w:rsid w:val="00083BC4"/>
    <w:rsid w:val="000858C8"/>
    <w:rsid w:val="000876F0"/>
    <w:rsid w:val="00090352"/>
    <w:rsid w:val="00091006"/>
    <w:rsid w:val="00091D54"/>
    <w:rsid w:val="00091E07"/>
    <w:rsid w:val="00092E37"/>
    <w:rsid w:val="000937A2"/>
    <w:rsid w:val="00093EB9"/>
    <w:rsid w:val="00095960"/>
    <w:rsid w:val="000962E3"/>
    <w:rsid w:val="00096B89"/>
    <w:rsid w:val="0009719E"/>
    <w:rsid w:val="000A16A6"/>
    <w:rsid w:val="000A50F5"/>
    <w:rsid w:val="000A5541"/>
    <w:rsid w:val="000A68A3"/>
    <w:rsid w:val="000A6FEC"/>
    <w:rsid w:val="000B3E8C"/>
    <w:rsid w:val="000B429C"/>
    <w:rsid w:val="000B641A"/>
    <w:rsid w:val="000B6658"/>
    <w:rsid w:val="000B6D80"/>
    <w:rsid w:val="000C0C1D"/>
    <w:rsid w:val="000C3A3E"/>
    <w:rsid w:val="000C4599"/>
    <w:rsid w:val="000C46F0"/>
    <w:rsid w:val="000C62C8"/>
    <w:rsid w:val="000D393B"/>
    <w:rsid w:val="000D3C4E"/>
    <w:rsid w:val="000D44B3"/>
    <w:rsid w:val="000D4AC2"/>
    <w:rsid w:val="000D5F3D"/>
    <w:rsid w:val="000E1E55"/>
    <w:rsid w:val="000E2DA5"/>
    <w:rsid w:val="000E3D32"/>
    <w:rsid w:val="000E43A2"/>
    <w:rsid w:val="000E5E91"/>
    <w:rsid w:val="000E615A"/>
    <w:rsid w:val="000E72D5"/>
    <w:rsid w:val="000F1794"/>
    <w:rsid w:val="000F507A"/>
    <w:rsid w:val="000F5FD2"/>
    <w:rsid w:val="000F669F"/>
    <w:rsid w:val="0010422B"/>
    <w:rsid w:val="00105359"/>
    <w:rsid w:val="00105841"/>
    <w:rsid w:val="00106FF3"/>
    <w:rsid w:val="00107FEC"/>
    <w:rsid w:val="00112631"/>
    <w:rsid w:val="00112AC4"/>
    <w:rsid w:val="001175AC"/>
    <w:rsid w:val="00117687"/>
    <w:rsid w:val="00120D10"/>
    <w:rsid w:val="00120F17"/>
    <w:rsid w:val="00123F34"/>
    <w:rsid w:val="00130F9A"/>
    <w:rsid w:val="001319F6"/>
    <w:rsid w:val="0013718F"/>
    <w:rsid w:val="0013798D"/>
    <w:rsid w:val="00143053"/>
    <w:rsid w:val="001528F0"/>
    <w:rsid w:val="001546EA"/>
    <w:rsid w:val="00154BAA"/>
    <w:rsid w:val="0016267E"/>
    <w:rsid w:val="00162A2C"/>
    <w:rsid w:val="001642DD"/>
    <w:rsid w:val="00164CEB"/>
    <w:rsid w:val="001733BC"/>
    <w:rsid w:val="0017375E"/>
    <w:rsid w:val="001737CD"/>
    <w:rsid w:val="00175B42"/>
    <w:rsid w:val="0017740E"/>
    <w:rsid w:val="00177BC7"/>
    <w:rsid w:val="0018184A"/>
    <w:rsid w:val="00184461"/>
    <w:rsid w:val="001866E8"/>
    <w:rsid w:val="00193C54"/>
    <w:rsid w:val="001A07ED"/>
    <w:rsid w:val="001A1C09"/>
    <w:rsid w:val="001A3FCD"/>
    <w:rsid w:val="001A4B1A"/>
    <w:rsid w:val="001A5E10"/>
    <w:rsid w:val="001A7A3D"/>
    <w:rsid w:val="001B0EA3"/>
    <w:rsid w:val="001B2023"/>
    <w:rsid w:val="001B4E21"/>
    <w:rsid w:val="001B7A7C"/>
    <w:rsid w:val="001C1A3A"/>
    <w:rsid w:val="001D0205"/>
    <w:rsid w:val="001D04B1"/>
    <w:rsid w:val="001D2226"/>
    <w:rsid w:val="001D2C1A"/>
    <w:rsid w:val="001D4117"/>
    <w:rsid w:val="001D465E"/>
    <w:rsid w:val="001D5055"/>
    <w:rsid w:val="001D5473"/>
    <w:rsid w:val="001D5D7C"/>
    <w:rsid w:val="001D670E"/>
    <w:rsid w:val="001E06F4"/>
    <w:rsid w:val="001E56BE"/>
    <w:rsid w:val="001F0304"/>
    <w:rsid w:val="00200961"/>
    <w:rsid w:val="0020221C"/>
    <w:rsid w:val="002075FF"/>
    <w:rsid w:val="00210023"/>
    <w:rsid w:val="00214C1A"/>
    <w:rsid w:val="002209E3"/>
    <w:rsid w:val="002213A6"/>
    <w:rsid w:val="0022558D"/>
    <w:rsid w:val="00234083"/>
    <w:rsid w:val="00235F28"/>
    <w:rsid w:val="0024499F"/>
    <w:rsid w:val="00244EE8"/>
    <w:rsid w:val="002462A9"/>
    <w:rsid w:val="002465DD"/>
    <w:rsid w:val="00246CF1"/>
    <w:rsid w:val="00247FF5"/>
    <w:rsid w:val="00251860"/>
    <w:rsid w:val="00255DCE"/>
    <w:rsid w:val="00257EAF"/>
    <w:rsid w:val="00260D24"/>
    <w:rsid w:val="00261154"/>
    <w:rsid w:val="00261D68"/>
    <w:rsid w:val="00262641"/>
    <w:rsid w:val="002635CD"/>
    <w:rsid w:val="002663BA"/>
    <w:rsid w:val="00266CDC"/>
    <w:rsid w:val="002700CE"/>
    <w:rsid w:val="002709FE"/>
    <w:rsid w:val="00270CC2"/>
    <w:rsid w:val="002725BD"/>
    <w:rsid w:val="00274019"/>
    <w:rsid w:val="00287595"/>
    <w:rsid w:val="00290D4A"/>
    <w:rsid w:val="0029151F"/>
    <w:rsid w:val="002916A8"/>
    <w:rsid w:val="00294306"/>
    <w:rsid w:val="0029505F"/>
    <w:rsid w:val="00295222"/>
    <w:rsid w:val="002A1C58"/>
    <w:rsid w:val="002A4160"/>
    <w:rsid w:val="002A7A56"/>
    <w:rsid w:val="002B008F"/>
    <w:rsid w:val="002B1014"/>
    <w:rsid w:val="002B2A4D"/>
    <w:rsid w:val="002C1861"/>
    <w:rsid w:val="002C4833"/>
    <w:rsid w:val="002C6C2A"/>
    <w:rsid w:val="002D3487"/>
    <w:rsid w:val="002E02DB"/>
    <w:rsid w:val="002E177D"/>
    <w:rsid w:val="002E5279"/>
    <w:rsid w:val="002E63B2"/>
    <w:rsid w:val="002F1786"/>
    <w:rsid w:val="002F4617"/>
    <w:rsid w:val="003003F1"/>
    <w:rsid w:val="0030471B"/>
    <w:rsid w:val="00304A69"/>
    <w:rsid w:val="00306151"/>
    <w:rsid w:val="00307C6B"/>
    <w:rsid w:val="00311C9E"/>
    <w:rsid w:val="00314BB6"/>
    <w:rsid w:val="00316E5D"/>
    <w:rsid w:val="00317BAA"/>
    <w:rsid w:val="00320D09"/>
    <w:rsid w:val="00322C79"/>
    <w:rsid w:val="00322F84"/>
    <w:rsid w:val="00323BEC"/>
    <w:rsid w:val="00324DFA"/>
    <w:rsid w:val="00327FCC"/>
    <w:rsid w:val="00334EDA"/>
    <w:rsid w:val="00336817"/>
    <w:rsid w:val="0034262D"/>
    <w:rsid w:val="00342802"/>
    <w:rsid w:val="0034596E"/>
    <w:rsid w:val="00352038"/>
    <w:rsid w:val="0035517A"/>
    <w:rsid w:val="00356082"/>
    <w:rsid w:val="0035665C"/>
    <w:rsid w:val="003638E2"/>
    <w:rsid w:val="0036634B"/>
    <w:rsid w:val="00367C65"/>
    <w:rsid w:val="00370F20"/>
    <w:rsid w:val="003807F2"/>
    <w:rsid w:val="00381E08"/>
    <w:rsid w:val="00382978"/>
    <w:rsid w:val="00382B13"/>
    <w:rsid w:val="003836C8"/>
    <w:rsid w:val="003903F4"/>
    <w:rsid w:val="00391D00"/>
    <w:rsid w:val="00393BFF"/>
    <w:rsid w:val="00394953"/>
    <w:rsid w:val="00397132"/>
    <w:rsid w:val="00397603"/>
    <w:rsid w:val="003A02D2"/>
    <w:rsid w:val="003A0AB5"/>
    <w:rsid w:val="003A59E0"/>
    <w:rsid w:val="003B0429"/>
    <w:rsid w:val="003B3D5D"/>
    <w:rsid w:val="003B3E71"/>
    <w:rsid w:val="003B4733"/>
    <w:rsid w:val="003B58BF"/>
    <w:rsid w:val="003C15CD"/>
    <w:rsid w:val="003C2B66"/>
    <w:rsid w:val="003C3C3A"/>
    <w:rsid w:val="003C78B6"/>
    <w:rsid w:val="003D33B8"/>
    <w:rsid w:val="003D5DBD"/>
    <w:rsid w:val="003D7960"/>
    <w:rsid w:val="003E0318"/>
    <w:rsid w:val="003F0B2F"/>
    <w:rsid w:val="003F197D"/>
    <w:rsid w:val="003F3AB9"/>
    <w:rsid w:val="003F3EB2"/>
    <w:rsid w:val="004014DC"/>
    <w:rsid w:val="00404109"/>
    <w:rsid w:val="0040609B"/>
    <w:rsid w:val="00410639"/>
    <w:rsid w:val="004115A2"/>
    <w:rsid w:val="00412845"/>
    <w:rsid w:val="00412EB4"/>
    <w:rsid w:val="0041666A"/>
    <w:rsid w:val="00417703"/>
    <w:rsid w:val="00417AAA"/>
    <w:rsid w:val="00417F98"/>
    <w:rsid w:val="004216C4"/>
    <w:rsid w:val="00421AA1"/>
    <w:rsid w:val="00425540"/>
    <w:rsid w:val="004257AC"/>
    <w:rsid w:val="00430D09"/>
    <w:rsid w:val="00431D85"/>
    <w:rsid w:val="00433A7A"/>
    <w:rsid w:val="004355BC"/>
    <w:rsid w:val="00436B20"/>
    <w:rsid w:val="00437594"/>
    <w:rsid w:val="004378A1"/>
    <w:rsid w:val="004378AD"/>
    <w:rsid w:val="00442DAC"/>
    <w:rsid w:val="00442FF7"/>
    <w:rsid w:val="004439AE"/>
    <w:rsid w:val="0044427E"/>
    <w:rsid w:val="004443C5"/>
    <w:rsid w:val="00446C70"/>
    <w:rsid w:val="00450EA4"/>
    <w:rsid w:val="00452BA2"/>
    <w:rsid w:val="00454CCA"/>
    <w:rsid w:val="00456124"/>
    <w:rsid w:val="00457805"/>
    <w:rsid w:val="00460D0E"/>
    <w:rsid w:val="00461612"/>
    <w:rsid w:val="00461E4A"/>
    <w:rsid w:val="00464198"/>
    <w:rsid w:val="004651C1"/>
    <w:rsid w:val="004666C6"/>
    <w:rsid w:val="00470A58"/>
    <w:rsid w:val="00471F23"/>
    <w:rsid w:val="00473A84"/>
    <w:rsid w:val="00474307"/>
    <w:rsid w:val="00474622"/>
    <w:rsid w:val="00477893"/>
    <w:rsid w:val="00481381"/>
    <w:rsid w:val="004843C7"/>
    <w:rsid w:val="00484D4F"/>
    <w:rsid w:val="00496DA1"/>
    <w:rsid w:val="004A27A2"/>
    <w:rsid w:val="004A449F"/>
    <w:rsid w:val="004A4C33"/>
    <w:rsid w:val="004B06E6"/>
    <w:rsid w:val="004B137F"/>
    <w:rsid w:val="004B2407"/>
    <w:rsid w:val="004B3068"/>
    <w:rsid w:val="004B348E"/>
    <w:rsid w:val="004B3599"/>
    <w:rsid w:val="004B4B16"/>
    <w:rsid w:val="004C00E1"/>
    <w:rsid w:val="004C12B2"/>
    <w:rsid w:val="004D16C6"/>
    <w:rsid w:val="004D2013"/>
    <w:rsid w:val="004D2424"/>
    <w:rsid w:val="004D56E7"/>
    <w:rsid w:val="004E168C"/>
    <w:rsid w:val="004E1F2E"/>
    <w:rsid w:val="004E30ED"/>
    <w:rsid w:val="004E69AF"/>
    <w:rsid w:val="004F3AD8"/>
    <w:rsid w:val="004F4D55"/>
    <w:rsid w:val="004F61A4"/>
    <w:rsid w:val="004F704A"/>
    <w:rsid w:val="00503706"/>
    <w:rsid w:val="00505495"/>
    <w:rsid w:val="005064A8"/>
    <w:rsid w:val="0051651B"/>
    <w:rsid w:val="00516958"/>
    <w:rsid w:val="00525410"/>
    <w:rsid w:val="00526A96"/>
    <w:rsid w:val="00526D13"/>
    <w:rsid w:val="005300FF"/>
    <w:rsid w:val="00530528"/>
    <w:rsid w:val="00531B42"/>
    <w:rsid w:val="00531D00"/>
    <w:rsid w:val="00533225"/>
    <w:rsid w:val="00535F7A"/>
    <w:rsid w:val="00541312"/>
    <w:rsid w:val="0054334B"/>
    <w:rsid w:val="00545E13"/>
    <w:rsid w:val="00550395"/>
    <w:rsid w:val="005525FA"/>
    <w:rsid w:val="00552FD1"/>
    <w:rsid w:val="0055469A"/>
    <w:rsid w:val="005569D7"/>
    <w:rsid w:val="0056023A"/>
    <w:rsid w:val="00566EC3"/>
    <w:rsid w:val="00571841"/>
    <w:rsid w:val="00571F2B"/>
    <w:rsid w:val="00572887"/>
    <w:rsid w:val="00573A78"/>
    <w:rsid w:val="00577DC5"/>
    <w:rsid w:val="005822A1"/>
    <w:rsid w:val="00585744"/>
    <w:rsid w:val="005904CF"/>
    <w:rsid w:val="00595E1A"/>
    <w:rsid w:val="005A07DB"/>
    <w:rsid w:val="005A4A37"/>
    <w:rsid w:val="005A55CF"/>
    <w:rsid w:val="005A64A4"/>
    <w:rsid w:val="005A6605"/>
    <w:rsid w:val="005A74F5"/>
    <w:rsid w:val="005A75FE"/>
    <w:rsid w:val="005B2898"/>
    <w:rsid w:val="005B3917"/>
    <w:rsid w:val="005B3A48"/>
    <w:rsid w:val="005B42A4"/>
    <w:rsid w:val="005B5D8A"/>
    <w:rsid w:val="005B65FE"/>
    <w:rsid w:val="005C2B8F"/>
    <w:rsid w:val="005C5034"/>
    <w:rsid w:val="005C6E71"/>
    <w:rsid w:val="005C7EC9"/>
    <w:rsid w:val="005D0A23"/>
    <w:rsid w:val="005D225E"/>
    <w:rsid w:val="005D4868"/>
    <w:rsid w:val="005D4E2B"/>
    <w:rsid w:val="005E1402"/>
    <w:rsid w:val="005E3D87"/>
    <w:rsid w:val="005E40BB"/>
    <w:rsid w:val="005E6801"/>
    <w:rsid w:val="005E6C9E"/>
    <w:rsid w:val="005E75BD"/>
    <w:rsid w:val="005F3F88"/>
    <w:rsid w:val="005F4CC4"/>
    <w:rsid w:val="005F7CFF"/>
    <w:rsid w:val="005F7E79"/>
    <w:rsid w:val="00603B95"/>
    <w:rsid w:val="00605ED0"/>
    <w:rsid w:val="00607B73"/>
    <w:rsid w:val="006107B3"/>
    <w:rsid w:val="0061121B"/>
    <w:rsid w:val="006113BA"/>
    <w:rsid w:val="006133E8"/>
    <w:rsid w:val="00613D06"/>
    <w:rsid w:val="0061449F"/>
    <w:rsid w:val="006148FD"/>
    <w:rsid w:val="00621712"/>
    <w:rsid w:val="00622D03"/>
    <w:rsid w:val="00623C73"/>
    <w:rsid w:val="00623DBC"/>
    <w:rsid w:val="00625C93"/>
    <w:rsid w:val="00630344"/>
    <w:rsid w:val="006328A8"/>
    <w:rsid w:val="00635EC7"/>
    <w:rsid w:val="0063679F"/>
    <w:rsid w:val="00637A42"/>
    <w:rsid w:val="0064016D"/>
    <w:rsid w:val="00643BD5"/>
    <w:rsid w:val="00652556"/>
    <w:rsid w:val="00652727"/>
    <w:rsid w:val="00653A11"/>
    <w:rsid w:val="0066062B"/>
    <w:rsid w:val="00660A94"/>
    <w:rsid w:val="00660F3A"/>
    <w:rsid w:val="00662E19"/>
    <w:rsid w:val="00663957"/>
    <w:rsid w:val="00664573"/>
    <w:rsid w:val="00664658"/>
    <w:rsid w:val="006653F9"/>
    <w:rsid w:val="00667891"/>
    <w:rsid w:val="00671D70"/>
    <w:rsid w:val="00675326"/>
    <w:rsid w:val="006765D1"/>
    <w:rsid w:val="00682286"/>
    <w:rsid w:val="006857A7"/>
    <w:rsid w:val="0069438A"/>
    <w:rsid w:val="00695D95"/>
    <w:rsid w:val="006A2B47"/>
    <w:rsid w:val="006A4C21"/>
    <w:rsid w:val="006B0270"/>
    <w:rsid w:val="006B1B9B"/>
    <w:rsid w:val="006B3DBC"/>
    <w:rsid w:val="006B7374"/>
    <w:rsid w:val="006B759B"/>
    <w:rsid w:val="006C001C"/>
    <w:rsid w:val="006C093F"/>
    <w:rsid w:val="006C3036"/>
    <w:rsid w:val="006C4E0A"/>
    <w:rsid w:val="006C5B6F"/>
    <w:rsid w:val="006C682E"/>
    <w:rsid w:val="006C7511"/>
    <w:rsid w:val="006D16B4"/>
    <w:rsid w:val="006D343E"/>
    <w:rsid w:val="006D5BA0"/>
    <w:rsid w:val="006D5F87"/>
    <w:rsid w:val="006E1F89"/>
    <w:rsid w:val="006E47BD"/>
    <w:rsid w:val="006E581C"/>
    <w:rsid w:val="006E5B8E"/>
    <w:rsid w:val="006E6694"/>
    <w:rsid w:val="006E75B7"/>
    <w:rsid w:val="006F23CC"/>
    <w:rsid w:val="006F299F"/>
    <w:rsid w:val="006F3C66"/>
    <w:rsid w:val="006F7DDF"/>
    <w:rsid w:val="00700C83"/>
    <w:rsid w:val="00701763"/>
    <w:rsid w:val="007102B8"/>
    <w:rsid w:val="00710852"/>
    <w:rsid w:val="007130C2"/>
    <w:rsid w:val="00721A60"/>
    <w:rsid w:val="00726B3D"/>
    <w:rsid w:val="00730957"/>
    <w:rsid w:val="007337B2"/>
    <w:rsid w:val="0073520F"/>
    <w:rsid w:val="00737EBE"/>
    <w:rsid w:val="00740396"/>
    <w:rsid w:val="00741E64"/>
    <w:rsid w:val="00742CC0"/>
    <w:rsid w:val="007449F8"/>
    <w:rsid w:val="00752899"/>
    <w:rsid w:val="00752B8D"/>
    <w:rsid w:val="007539E4"/>
    <w:rsid w:val="00754705"/>
    <w:rsid w:val="00763E3A"/>
    <w:rsid w:val="00763F96"/>
    <w:rsid w:val="00764E8F"/>
    <w:rsid w:val="00765CF5"/>
    <w:rsid w:val="007668B6"/>
    <w:rsid w:val="00770C26"/>
    <w:rsid w:val="00770E1C"/>
    <w:rsid w:val="00770ED6"/>
    <w:rsid w:val="007758C2"/>
    <w:rsid w:val="007762D2"/>
    <w:rsid w:val="007772AC"/>
    <w:rsid w:val="00777AD4"/>
    <w:rsid w:val="00782E0C"/>
    <w:rsid w:val="00783756"/>
    <w:rsid w:val="0078446F"/>
    <w:rsid w:val="007846DE"/>
    <w:rsid w:val="00787DBF"/>
    <w:rsid w:val="00795191"/>
    <w:rsid w:val="007960BF"/>
    <w:rsid w:val="007A0F52"/>
    <w:rsid w:val="007A23E4"/>
    <w:rsid w:val="007A360E"/>
    <w:rsid w:val="007A520B"/>
    <w:rsid w:val="007A5B4C"/>
    <w:rsid w:val="007A7DA1"/>
    <w:rsid w:val="007B3F20"/>
    <w:rsid w:val="007B57A7"/>
    <w:rsid w:val="007B6546"/>
    <w:rsid w:val="007B70BC"/>
    <w:rsid w:val="007C08FD"/>
    <w:rsid w:val="007C0F97"/>
    <w:rsid w:val="007C1336"/>
    <w:rsid w:val="007C1416"/>
    <w:rsid w:val="007C260B"/>
    <w:rsid w:val="007C2ED4"/>
    <w:rsid w:val="007C3E04"/>
    <w:rsid w:val="007C6530"/>
    <w:rsid w:val="007D155D"/>
    <w:rsid w:val="007D17F7"/>
    <w:rsid w:val="007D48C0"/>
    <w:rsid w:val="007D5250"/>
    <w:rsid w:val="007D7AD6"/>
    <w:rsid w:val="007E2061"/>
    <w:rsid w:val="007E2DD3"/>
    <w:rsid w:val="007E34E1"/>
    <w:rsid w:val="007E5369"/>
    <w:rsid w:val="007E57BB"/>
    <w:rsid w:val="007E7971"/>
    <w:rsid w:val="007F46F7"/>
    <w:rsid w:val="007F4A60"/>
    <w:rsid w:val="00801E33"/>
    <w:rsid w:val="00807210"/>
    <w:rsid w:val="008100AC"/>
    <w:rsid w:val="00813F02"/>
    <w:rsid w:val="008178EC"/>
    <w:rsid w:val="00820C45"/>
    <w:rsid w:val="00821CBD"/>
    <w:rsid w:val="008231C4"/>
    <w:rsid w:val="0082641A"/>
    <w:rsid w:val="00830E5C"/>
    <w:rsid w:val="008323E1"/>
    <w:rsid w:val="00832C51"/>
    <w:rsid w:val="00833286"/>
    <w:rsid w:val="008341BC"/>
    <w:rsid w:val="0083541F"/>
    <w:rsid w:val="00836CB2"/>
    <w:rsid w:val="00840F82"/>
    <w:rsid w:val="00841B81"/>
    <w:rsid w:val="00843827"/>
    <w:rsid w:val="00853623"/>
    <w:rsid w:val="00854686"/>
    <w:rsid w:val="00856EA2"/>
    <w:rsid w:val="0086093C"/>
    <w:rsid w:val="0086206D"/>
    <w:rsid w:val="0086384F"/>
    <w:rsid w:val="00865FBE"/>
    <w:rsid w:val="00866AF8"/>
    <w:rsid w:val="008745FC"/>
    <w:rsid w:val="00875197"/>
    <w:rsid w:val="00881298"/>
    <w:rsid w:val="00881434"/>
    <w:rsid w:val="00883124"/>
    <w:rsid w:val="008843CB"/>
    <w:rsid w:val="00884FC5"/>
    <w:rsid w:val="00890DEB"/>
    <w:rsid w:val="0089216D"/>
    <w:rsid w:val="0089454C"/>
    <w:rsid w:val="008A0AD4"/>
    <w:rsid w:val="008A16EF"/>
    <w:rsid w:val="008A4ECD"/>
    <w:rsid w:val="008A7D48"/>
    <w:rsid w:val="008B2EB0"/>
    <w:rsid w:val="008C0332"/>
    <w:rsid w:val="008C07BC"/>
    <w:rsid w:val="008C1A46"/>
    <w:rsid w:val="008C2D78"/>
    <w:rsid w:val="008C32CE"/>
    <w:rsid w:val="008C395B"/>
    <w:rsid w:val="008C6D45"/>
    <w:rsid w:val="008C7FE5"/>
    <w:rsid w:val="008D2A62"/>
    <w:rsid w:val="008D3ACD"/>
    <w:rsid w:val="008D7865"/>
    <w:rsid w:val="008E09DB"/>
    <w:rsid w:val="008E3EC4"/>
    <w:rsid w:val="008F055F"/>
    <w:rsid w:val="008F1441"/>
    <w:rsid w:val="008F4877"/>
    <w:rsid w:val="008F55FA"/>
    <w:rsid w:val="00903062"/>
    <w:rsid w:val="00903C63"/>
    <w:rsid w:val="009065DC"/>
    <w:rsid w:val="00910F57"/>
    <w:rsid w:val="00914D0B"/>
    <w:rsid w:val="009165D3"/>
    <w:rsid w:val="00921428"/>
    <w:rsid w:val="00923253"/>
    <w:rsid w:val="00924CFB"/>
    <w:rsid w:val="00925234"/>
    <w:rsid w:val="009255F3"/>
    <w:rsid w:val="00926CDF"/>
    <w:rsid w:val="00930C04"/>
    <w:rsid w:val="009321BF"/>
    <w:rsid w:val="0093624C"/>
    <w:rsid w:val="00942B28"/>
    <w:rsid w:val="00945012"/>
    <w:rsid w:val="00946812"/>
    <w:rsid w:val="00947A01"/>
    <w:rsid w:val="009503A5"/>
    <w:rsid w:val="0095127D"/>
    <w:rsid w:val="00951867"/>
    <w:rsid w:val="00952CDE"/>
    <w:rsid w:val="00952F1B"/>
    <w:rsid w:val="00953D15"/>
    <w:rsid w:val="009565D4"/>
    <w:rsid w:val="00956650"/>
    <w:rsid w:val="009575E7"/>
    <w:rsid w:val="0096097D"/>
    <w:rsid w:val="00961362"/>
    <w:rsid w:val="009619E5"/>
    <w:rsid w:val="0096301E"/>
    <w:rsid w:val="00963B5E"/>
    <w:rsid w:val="00965DF7"/>
    <w:rsid w:val="009734D0"/>
    <w:rsid w:val="00973F5E"/>
    <w:rsid w:val="00980125"/>
    <w:rsid w:val="00980F3B"/>
    <w:rsid w:val="00981B83"/>
    <w:rsid w:val="00983642"/>
    <w:rsid w:val="009855A1"/>
    <w:rsid w:val="00986117"/>
    <w:rsid w:val="0099063F"/>
    <w:rsid w:val="00992F95"/>
    <w:rsid w:val="009936BA"/>
    <w:rsid w:val="00993B0A"/>
    <w:rsid w:val="0099430C"/>
    <w:rsid w:val="00995B33"/>
    <w:rsid w:val="009967EF"/>
    <w:rsid w:val="00996D72"/>
    <w:rsid w:val="009A027B"/>
    <w:rsid w:val="009A0508"/>
    <w:rsid w:val="009A30BE"/>
    <w:rsid w:val="009A52FE"/>
    <w:rsid w:val="009A6DB6"/>
    <w:rsid w:val="009A70C8"/>
    <w:rsid w:val="009B1B42"/>
    <w:rsid w:val="009B1D44"/>
    <w:rsid w:val="009B2A99"/>
    <w:rsid w:val="009B3F2F"/>
    <w:rsid w:val="009B62B0"/>
    <w:rsid w:val="009C3BF9"/>
    <w:rsid w:val="009C56BE"/>
    <w:rsid w:val="009C7AF6"/>
    <w:rsid w:val="009D52D7"/>
    <w:rsid w:val="009D5FBA"/>
    <w:rsid w:val="009D6486"/>
    <w:rsid w:val="009D66A3"/>
    <w:rsid w:val="009D6790"/>
    <w:rsid w:val="009D75D9"/>
    <w:rsid w:val="009E0F7E"/>
    <w:rsid w:val="009E52EC"/>
    <w:rsid w:val="009E54CF"/>
    <w:rsid w:val="009E71B1"/>
    <w:rsid w:val="009E7586"/>
    <w:rsid w:val="009F65C3"/>
    <w:rsid w:val="00A00324"/>
    <w:rsid w:val="00A00A5D"/>
    <w:rsid w:val="00A01AA7"/>
    <w:rsid w:val="00A01B00"/>
    <w:rsid w:val="00A02935"/>
    <w:rsid w:val="00A0464D"/>
    <w:rsid w:val="00A0751E"/>
    <w:rsid w:val="00A07A15"/>
    <w:rsid w:val="00A103F5"/>
    <w:rsid w:val="00A10668"/>
    <w:rsid w:val="00A1080D"/>
    <w:rsid w:val="00A142C3"/>
    <w:rsid w:val="00A15925"/>
    <w:rsid w:val="00A16F66"/>
    <w:rsid w:val="00A21964"/>
    <w:rsid w:val="00A276FF"/>
    <w:rsid w:val="00A304B1"/>
    <w:rsid w:val="00A30AC4"/>
    <w:rsid w:val="00A31D4F"/>
    <w:rsid w:val="00A3331A"/>
    <w:rsid w:val="00A40F33"/>
    <w:rsid w:val="00A41300"/>
    <w:rsid w:val="00A43FF8"/>
    <w:rsid w:val="00A443AE"/>
    <w:rsid w:val="00A46141"/>
    <w:rsid w:val="00A46925"/>
    <w:rsid w:val="00A46B4C"/>
    <w:rsid w:val="00A50A12"/>
    <w:rsid w:val="00A53B92"/>
    <w:rsid w:val="00A53BCE"/>
    <w:rsid w:val="00A53CD4"/>
    <w:rsid w:val="00A5545C"/>
    <w:rsid w:val="00A56A24"/>
    <w:rsid w:val="00A62E86"/>
    <w:rsid w:val="00A6428F"/>
    <w:rsid w:val="00A64CA7"/>
    <w:rsid w:val="00A65652"/>
    <w:rsid w:val="00A65801"/>
    <w:rsid w:val="00A66840"/>
    <w:rsid w:val="00A66B32"/>
    <w:rsid w:val="00A67C23"/>
    <w:rsid w:val="00A703E1"/>
    <w:rsid w:val="00A713BE"/>
    <w:rsid w:val="00A72114"/>
    <w:rsid w:val="00A73CCF"/>
    <w:rsid w:val="00A81F6D"/>
    <w:rsid w:val="00A825F0"/>
    <w:rsid w:val="00A90008"/>
    <w:rsid w:val="00A90AC0"/>
    <w:rsid w:val="00A9580B"/>
    <w:rsid w:val="00AA0A4A"/>
    <w:rsid w:val="00AA1C28"/>
    <w:rsid w:val="00AA3748"/>
    <w:rsid w:val="00AA3CEA"/>
    <w:rsid w:val="00AA64D7"/>
    <w:rsid w:val="00AB12E6"/>
    <w:rsid w:val="00AB417F"/>
    <w:rsid w:val="00AB4FC2"/>
    <w:rsid w:val="00AB78B3"/>
    <w:rsid w:val="00AC0F0D"/>
    <w:rsid w:val="00AC1071"/>
    <w:rsid w:val="00AC2741"/>
    <w:rsid w:val="00AC42B0"/>
    <w:rsid w:val="00AC704F"/>
    <w:rsid w:val="00AC7D86"/>
    <w:rsid w:val="00AD0093"/>
    <w:rsid w:val="00AD2B4D"/>
    <w:rsid w:val="00AD48FD"/>
    <w:rsid w:val="00AD505A"/>
    <w:rsid w:val="00AE529D"/>
    <w:rsid w:val="00AE55F0"/>
    <w:rsid w:val="00AE686C"/>
    <w:rsid w:val="00AF3A70"/>
    <w:rsid w:val="00AF47E6"/>
    <w:rsid w:val="00AF5D83"/>
    <w:rsid w:val="00AF645A"/>
    <w:rsid w:val="00B00A2D"/>
    <w:rsid w:val="00B00A9E"/>
    <w:rsid w:val="00B0178A"/>
    <w:rsid w:val="00B04306"/>
    <w:rsid w:val="00B04E44"/>
    <w:rsid w:val="00B15CF5"/>
    <w:rsid w:val="00B22C4D"/>
    <w:rsid w:val="00B237BB"/>
    <w:rsid w:val="00B27A78"/>
    <w:rsid w:val="00B30D43"/>
    <w:rsid w:val="00B313FE"/>
    <w:rsid w:val="00B326E7"/>
    <w:rsid w:val="00B3691D"/>
    <w:rsid w:val="00B36B52"/>
    <w:rsid w:val="00B403BC"/>
    <w:rsid w:val="00B4307E"/>
    <w:rsid w:val="00B4565B"/>
    <w:rsid w:val="00B464DB"/>
    <w:rsid w:val="00B5674D"/>
    <w:rsid w:val="00B60545"/>
    <w:rsid w:val="00B60B20"/>
    <w:rsid w:val="00B64F71"/>
    <w:rsid w:val="00B66930"/>
    <w:rsid w:val="00B6722B"/>
    <w:rsid w:val="00B67DE6"/>
    <w:rsid w:val="00B70527"/>
    <w:rsid w:val="00B81CF2"/>
    <w:rsid w:val="00B8266B"/>
    <w:rsid w:val="00B84C93"/>
    <w:rsid w:val="00B865B6"/>
    <w:rsid w:val="00B87431"/>
    <w:rsid w:val="00B925F7"/>
    <w:rsid w:val="00B93C48"/>
    <w:rsid w:val="00B9515C"/>
    <w:rsid w:val="00BA0A28"/>
    <w:rsid w:val="00BA287D"/>
    <w:rsid w:val="00BA2F9A"/>
    <w:rsid w:val="00BB0566"/>
    <w:rsid w:val="00BB267F"/>
    <w:rsid w:val="00BB298F"/>
    <w:rsid w:val="00BB46B2"/>
    <w:rsid w:val="00BB60E8"/>
    <w:rsid w:val="00BB6C92"/>
    <w:rsid w:val="00BC050E"/>
    <w:rsid w:val="00BC0B39"/>
    <w:rsid w:val="00BC0DE3"/>
    <w:rsid w:val="00BC2501"/>
    <w:rsid w:val="00BC41E7"/>
    <w:rsid w:val="00BC6C94"/>
    <w:rsid w:val="00BC7383"/>
    <w:rsid w:val="00BD20B1"/>
    <w:rsid w:val="00BD6B35"/>
    <w:rsid w:val="00BD6CC5"/>
    <w:rsid w:val="00BE0819"/>
    <w:rsid w:val="00BE0CB2"/>
    <w:rsid w:val="00BE27C4"/>
    <w:rsid w:val="00BE29CE"/>
    <w:rsid w:val="00BE37A2"/>
    <w:rsid w:val="00BE3DC7"/>
    <w:rsid w:val="00BE49FE"/>
    <w:rsid w:val="00BE50AD"/>
    <w:rsid w:val="00BE5772"/>
    <w:rsid w:val="00BE586B"/>
    <w:rsid w:val="00BE5B62"/>
    <w:rsid w:val="00BE7AF2"/>
    <w:rsid w:val="00BF10E8"/>
    <w:rsid w:val="00BF4ED0"/>
    <w:rsid w:val="00BF5770"/>
    <w:rsid w:val="00BF6224"/>
    <w:rsid w:val="00BF6FF9"/>
    <w:rsid w:val="00C003F3"/>
    <w:rsid w:val="00C0171D"/>
    <w:rsid w:val="00C03509"/>
    <w:rsid w:val="00C039A5"/>
    <w:rsid w:val="00C03B47"/>
    <w:rsid w:val="00C04130"/>
    <w:rsid w:val="00C066E9"/>
    <w:rsid w:val="00C13504"/>
    <w:rsid w:val="00C17AEF"/>
    <w:rsid w:val="00C22734"/>
    <w:rsid w:val="00C229F6"/>
    <w:rsid w:val="00C25287"/>
    <w:rsid w:val="00C25EFB"/>
    <w:rsid w:val="00C26193"/>
    <w:rsid w:val="00C26A46"/>
    <w:rsid w:val="00C326FD"/>
    <w:rsid w:val="00C34F7C"/>
    <w:rsid w:val="00C42F33"/>
    <w:rsid w:val="00C444D9"/>
    <w:rsid w:val="00C45B73"/>
    <w:rsid w:val="00C47030"/>
    <w:rsid w:val="00C47041"/>
    <w:rsid w:val="00C507DA"/>
    <w:rsid w:val="00C552E3"/>
    <w:rsid w:val="00C5685D"/>
    <w:rsid w:val="00C5764E"/>
    <w:rsid w:val="00C64789"/>
    <w:rsid w:val="00C66639"/>
    <w:rsid w:val="00C67F60"/>
    <w:rsid w:val="00C76879"/>
    <w:rsid w:val="00C770ED"/>
    <w:rsid w:val="00C77589"/>
    <w:rsid w:val="00C77F4E"/>
    <w:rsid w:val="00C80B5F"/>
    <w:rsid w:val="00C8131E"/>
    <w:rsid w:val="00C82131"/>
    <w:rsid w:val="00C826B4"/>
    <w:rsid w:val="00C91128"/>
    <w:rsid w:val="00C92586"/>
    <w:rsid w:val="00C96414"/>
    <w:rsid w:val="00C96767"/>
    <w:rsid w:val="00C9680F"/>
    <w:rsid w:val="00C9697D"/>
    <w:rsid w:val="00C9767E"/>
    <w:rsid w:val="00CA0B6E"/>
    <w:rsid w:val="00CA356D"/>
    <w:rsid w:val="00CB03C4"/>
    <w:rsid w:val="00CB6AAA"/>
    <w:rsid w:val="00CC186B"/>
    <w:rsid w:val="00CC20B9"/>
    <w:rsid w:val="00CC3D86"/>
    <w:rsid w:val="00CC70FA"/>
    <w:rsid w:val="00CC71C4"/>
    <w:rsid w:val="00CD059A"/>
    <w:rsid w:val="00CD2E89"/>
    <w:rsid w:val="00CD3020"/>
    <w:rsid w:val="00CD37C1"/>
    <w:rsid w:val="00CD393A"/>
    <w:rsid w:val="00CD5023"/>
    <w:rsid w:val="00CD5A49"/>
    <w:rsid w:val="00CD5B84"/>
    <w:rsid w:val="00CD7ACC"/>
    <w:rsid w:val="00CE0924"/>
    <w:rsid w:val="00CE300A"/>
    <w:rsid w:val="00CE43C3"/>
    <w:rsid w:val="00CE4EDE"/>
    <w:rsid w:val="00CE6237"/>
    <w:rsid w:val="00CE707E"/>
    <w:rsid w:val="00CF1DBD"/>
    <w:rsid w:val="00CF69B9"/>
    <w:rsid w:val="00D04638"/>
    <w:rsid w:val="00D05A8D"/>
    <w:rsid w:val="00D06C05"/>
    <w:rsid w:val="00D11059"/>
    <w:rsid w:val="00D1164E"/>
    <w:rsid w:val="00D12CF0"/>
    <w:rsid w:val="00D15028"/>
    <w:rsid w:val="00D17186"/>
    <w:rsid w:val="00D23AAB"/>
    <w:rsid w:val="00D333C0"/>
    <w:rsid w:val="00D33417"/>
    <w:rsid w:val="00D3358C"/>
    <w:rsid w:val="00D34DA9"/>
    <w:rsid w:val="00D34F66"/>
    <w:rsid w:val="00D35630"/>
    <w:rsid w:val="00D36418"/>
    <w:rsid w:val="00D36ACA"/>
    <w:rsid w:val="00D46137"/>
    <w:rsid w:val="00D46741"/>
    <w:rsid w:val="00D46F5B"/>
    <w:rsid w:val="00D52030"/>
    <w:rsid w:val="00D52529"/>
    <w:rsid w:val="00D5256A"/>
    <w:rsid w:val="00D5393D"/>
    <w:rsid w:val="00D557F6"/>
    <w:rsid w:val="00D66FAC"/>
    <w:rsid w:val="00D67C34"/>
    <w:rsid w:val="00D71D88"/>
    <w:rsid w:val="00D73574"/>
    <w:rsid w:val="00D73AAB"/>
    <w:rsid w:val="00D7406A"/>
    <w:rsid w:val="00D746BB"/>
    <w:rsid w:val="00D7729F"/>
    <w:rsid w:val="00D779B0"/>
    <w:rsid w:val="00D800E4"/>
    <w:rsid w:val="00D8110B"/>
    <w:rsid w:val="00D81279"/>
    <w:rsid w:val="00D82839"/>
    <w:rsid w:val="00D84B30"/>
    <w:rsid w:val="00D855DC"/>
    <w:rsid w:val="00D87328"/>
    <w:rsid w:val="00D87B03"/>
    <w:rsid w:val="00D91E9F"/>
    <w:rsid w:val="00D93BD0"/>
    <w:rsid w:val="00D94E3C"/>
    <w:rsid w:val="00D9757B"/>
    <w:rsid w:val="00DA2336"/>
    <w:rsid w:val="00DA51C8"/>
    <w:rsid w:val="00DB277F"/>
    <w:rsid w:val="00DB2EE5"/>
    <w:rsid w:val="00DB39C0"/>
    <w:rsid w:val="00DB40DA"/>
    <w:rsid w:val="00DB46E6"/>
    <w:rsid w:val="00DB47E3"/>
    <w:rsid w:val="00DB4847"/>
    <w:rsid w:val="00DB498A"/>
    <w:rsid w:val="00DB4C4F"/>
    <w:rsid w:val="00DB6B18"/>
    <w:rsid w:val="00DB7DED"/>
    <w:rsid w:val="00DC1417"/>
    <w:rsid w:val="00DC43DB"/>
    <w:rsid w:val="00DC5FF9"/>
    <w:rsid w:val="00DD052D"/>
    <w:rsid w:val="00DD406D"/>
    <w:rsid w:val="00DD7E60"/>
    <w:rsid w:val="00DE3C2E"/>
    <w:rsid w:val="00DE4536"/>
    <w:rsid w:val="00DE49AC"/>
    <w:rsid w:val="00DE5100"/>
    <w:rsid w:val="00DE7141"/>
    <w:rsid w:val="00DF02A6"/>
    <w:rsid w:val="00DF0B1A"/>
    <w:rsid w:val="00DF2278"/>
    <w:rsid w:val="00DF45AC"/>
    <w:rsid w:val="00DF580C"/>
    <w:rsid w:val="00DF5E8E"/>
    <w:rsid w:val="00DF6A41"/>
    <w:rsid w:val="00E00970"/>
    <w:rsid w:val="00E01DDA"/>
    <w:rsid w:val="00E02674"/>
    <w:rsid w:val="00E05113"/>
    <w:rsid w:val="00E05E78"/>
    <w:rsid w:val="00E05EAF"/>
    <w:rsid w:val="00E11868"/>
    <w:rsid w:val="00E1317A"/>
    <w:rsid w:val="00E13A4F"/>
    <w:rsid w:val="00E16D8F"/>
    <w:rsid w:val="00E1790D"/>
    <w:rsid w:val="00E22036"/>
    <w:rsid w:val="00E22E41"/>
    <w:rsid w:val="00E245C1"/>
    <w:rsid w:val="00E26669"/>
    <w:rsid w:val="00E32336"/>
    <w:rsid w:val="00E3482D"/>
    <w:rsid w:val="00E351B6"/>
    <w:rsid w:val="00E45987"/>
    <w:rsid w:val="00E45E3A"/>
    <w:rsid w:val="00E46A43"/>
    <w:rsid w:val="00E50F48"/>
    <w:rsid w:val="00E546EF"/>
    <w:rsid w:val="00E618AD"/>
    <w:rsid w:val="00E63110"/>
    <w:rsid w:val="00E635BE"/>
    <w:rsid w:val="00E66DE0"/>
    <w:rsid w:val="00E6730A"/>
    <w:rsid w:val="00E70D60"/>
    <w:rsid w:val="00E750F1"/>
    <w:rsid w:val="00E752E5"/>
    <w:rsid w:val="00E75E12"/>
    <w:rsid w:val="00E76AC2"/>
    <w:rsid w:val="00E8083E"/>
    <w:rsid w:val="00E8263D"/>
    <w:rsid w:val="00E84226"/>
    <w:rsid w:val="00E848AF"/>
    <w:rsid w:val="00E84BF1"/>
    <w:rsid w:val="00E85257"/>
    <w:rsid w:val="00E90E32"/>
    <w:rsid w:val="00E91E03"/>
    <w:rsid w:val="00E923B0"/>
    <w:rsid w:val="00E925C9"/>
    <w:rsid w:val="00E92604"/>
    <w:rsid w:val="00E92B7F"/>
    <w:rsid w:val="00E942B9"/>
    <w:rsid w:val="00E95F53"/>
    <w:rsid w:val="00EA08E6"/>
    <w:rsid w:val="00EA276D"/>
    <w:rsid w:val="00EA298F"/>
    <w:rsid w:val="00EA2C22"/>
    <w:rsid w:val="00EA3481"/>
    <w:rsid w:val="00EA48A1"/>
    <w:rsid w:val="00EA4FF8"/>
    <w:rsid w:val="00EA692E"/>
    <w:rsid w:val="00EA728E"/>
    <w:rsid w:val="00EB1E54"/>
    <w:rsid w:val="00EB21A3"/>
    <w:rsid w:val="00EB21AB"/>
    <w:rsid w:val="00EB28B2"/>
    <w:rsid w:val="00EC16B9"/>
    <w:rsid w:val="00EC3EB9"/>
    <w:rsid w:val="00EC7674"/>
    <w:rsid w:val="00ED209B"/>
    <w:rsid w:val="00ED2B32"/>
    <w:rsid w:val="00ED2BCB"/>
    <w:rsid w:val="00ED3440"/>
    <w:rsid w:val="00ED52AA"/>
    <w:rsid w:val="00EE1200"/>
    <w:rsid w:val="00EE5700"/>
    <w:rsid w:val="00EF0726"/>
    <w:rsid w:val="00EF103E"/>
    <w:rsid w:val="00EF263D"/>
    <w:rsid w:val="00EF33D6"/>
    <w:rsid w:val="00EF6EB6"/>
    <w:rsid w:val="00F01B1A"/>
    <w:rsid w:val="00F02ED7"/>
    <w:rsid w:val="00F05E3C"/>
    <w:rsid w:val="00F07553"/>
    <w:rsid w:val="00F07DDB"/>
    <w:rsid w:val="00F108F3"/>
    <w:rsid w:val="00F12482"/>
    <w:rsid w:val="00F13719"/>
    <w:rsid w:val="00F14401"/>
    <w:rsid w:val="00F164F4"/>
    <w:rsid w:val="00F20988"/>
    <w:rsid w:val="00F21FC1"/>
    <w:rsid w:val="00F22652"/>
    <w:rsid w:val="00F2277E"/>
    <w:rsid w:val="00F2369C"/>
    <w:rsid w:val="00F2454B"/>
    <w:rsid w:val="00F27CD5"/>
    <w:rsid w:val="00F30770"/>
    <w:rsid w:val="00F30EBD"/>
    <w:rsid w:val="00F3375A"/>
    <w:rsid w:val="00F3663F"/>
    <w:rsid w:val="00F36F66"/>
    <w:rsid w:val="00F4283A"/>
    <w:rsid w:val="00F42FBD"/>
    <w:rsid w:val="00F44D9E"/>
    <w:rsid w:val="00F53778"/>
    <w:rsid w:val="00F5447E"/>
    <w:rsid w:val="00F54861"/>
    <w:rsid w:val="00F609F3"/>
    <w:rsid w:val="00F60CDC"/>
    <w:rsid w:val="00F61EC9"/>
    <w:rsid w:val="00F64EA1"/>
    <w:rsid w:val="00F72983"/>
    <w:rsid w:val="00F753E8"/>
    <w:rsid w:val="00F76719"/>
    <w:rsid w:val="00F769D1"/>
    <w:rsid w:val="00F76FF7"/>
    <w:rsid w:val="00F928E0"/>
    <w:rsid w:val="00F93052"/>
    <w:rsid w:val="00F95039"/>
    <w:rsid w:val="00F97306"/>
    <w:rsid w:val="00F97666"/>
    <w:rsid w:val="00FA257C"/>
    <w:rsid w:val="00FA614C"/>
    <w:rsid w:val="00FA6DE3"/>
    <w:rsid w:val="00FC1D4A"/>
    <w:rsid w:val="00FC1DF9"/>
    <w:rsid w:val="00FC2361"/>
    <w:rsid w:val="00FC3353"/>
    <w:rsid w:val="00FC518E"/>
    <w:rsid w:val="00FC6E3A"/>
    <w:rsid w:val="00FD1787"/>
    <w:rsid w:val="00FD2457"/>
    <w:rsid w:val="00FD4833"/>
    <w:rsid w:val="00FD530F"/>
    <w:rsid w:val="00FD559C"/>
    <w:rsid w:val="00FD648E"/>
    <w:rsid w:val="00FD695F"/>
    <w:rsid w:val="00FD6EDF"/>
    <w:rsid w:val="00FE0F9E"/>
    <w:rsid w:val="00FE1DAD"/>
    <w:rsid w:val="00FE29FF"/>
    <w:rsid w:val="00FE2BE9"/>
    <w:rsid w:val="00FE433A"/>
    <w:rsid w:val="00FE5CE1"/>
    <w:rsid w:val="00FF0D68"/>
    <w:rsid w:val="00FF1DCD"/>
    <w:rsid w:val="00FF42B7"/>
    <w:rsid w:val="00FF5E4A"/>
    <w:rsid w:val="00FF6282"/>
    <w:rsid w:val="00FF7817"/>
    <w:rsid w:val="0D4120E9"/>
    <w:rsid w:val="16D52CED"/>
    <w:rsid w:val="17434F0E"/>
    <w:rsid w:val="2F503B9B"/>
    <w:rsid w:val="350D5A55"/>
    <w:rsid w:val="46F26E20"/>
    <w:rsid w:val="51160B63"/>
    <w:rsid w:val="56D25C8C"/>
    <w:rsid w:val="584229C3"/>
    <w:rsid w:val="61B25108"/>
    <w:rsid w:val="69E64DFE"/>
    <w:rsid w:val="6EF27903"/>
    <w:rsid w:val="7BE16542"/>
    <w:rsid w:val="7BFD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spacing w:line="520" w:lineRule="exact"/>
      <w:ind w:firstLine="643" w:firstLineChars="200"/>
      <w:outlineLvl w:val="0"/>
    </w:pPr>
    <w:rPr>
      <w:rFonts w:ascii="黑体" w:hAnsi="黑体" w:eastAsia="黑体" w:cs="宋体"/>
      <w:b/>
      <w:bCs/>
      <w:kern w:val="0"/>
      <w:sz w:val="32"/>
      <w:szCs w:val="32"/>
    </w:rPr>
  </w:style>
  <w:style w:type="paragraph" w:styleId="3">
    <w:name w:val="heading 2"/>
    <w:basedOn w:val="1"/>
    <w:next w:val="1"/>
    <w:link w:val="23"/>
    <w:unhideWhenUsed/>
    <w:qFormat/>
    <w:uiPriority w:val="9"/>
    <w:pPr>
      <w:numPr>
        <w:ilvl w:val="0"/>
        <w:numId w:val="1"/>
      </w:numPr>
      <w:spacing w:line="360" w:lineRule="auto"/>
      <w:outlineLvl w:val="1"/>
    </w:pPr>
    <w:rPr>
      <w:rFonts w:ascii="楷体" w:hAnsi="楷体" w:eastAsia="楷体" w:cs="楷体"/>
      <w:b/>
      <w:bCs/>
      <w:kern w:val="0"/>
      <w:sz w:val="32"/>
      <w:szCs w:val="32"/>
    </w:rPr>
  </w:style>
  <w:style w:type="paragraph" w:styleId="4">
    <w:name w:val="heading 3"/>
    <w:basedOn w:val="5"/>
    <w:next w:val="1"/>
    <w:link w:val="24"/>
    <w:unhideWhenUsed/>
    <w:qFormat/>
    <w:uiPriority w:val="9"/>
    <w:pPr>
      <w:numPr>
        <w:ilvl w:val="0"/>
        <w:numId w:val="2"/>
      </w:numPr>
      <w:spacing w:line="520" w:lineRule="exact"/>
      <w:ind w:firstLine="0" w:firstLineChars="0"/>
      <w:outlineLvl w:val="2"/>
    </w:pPr>
    <w:rPr>
      <w:rFonts w:ascii="仿宋_GB2312" w:hAnsi="仿宋_GB2312" w:eastAsia="仿宋_GB2312" w:cs="仿宋_GB2312"/>
      <w:b/>
      <w:bCs/>
      <w:kern w:val="0"/>
      <w:sz w:val="32"/>
      <w:szCs w:val="32"/>
    </w:rPr>
  </w:style>
  <w:style w:type="paragraph" w:styleId="6">
    <w:name w:val="heading 4"/>
    <w:basedOn w:val="1"/>
    <w:next w:val="1"/>
    <w:link w:val="25"/>
    <w:unhideWhenUsed/>
    <w:qFormat/>
    <w:uiPriority w:val="9"/>
    <w:pPr>
      <w:numPr>
        <w:ilvl w:val="0"/>
        <w:numId w:val="3"/>
      </w:numPr>
      <w:spacing w:line="520" w:lineRule="exact"/>
      <w:outlineLvl w:val="3"/>
    </w:pPr>
    <w:rPr>
      <w:rFonts w:ascii="仿宋" w:hAnsi="仿宋" w:eastAsia="仿宋" w:cs="Times New Roman"/>
      <w:sz w:val="32"/>
      <w:szCs w:val="28"/>
    </w:rPr>
  </w:style>
  <w:style w:type="paragraph" w:styleId="7">
    <w:name w:val="heading 5"/>
    <w:basedOn w:val="1"/>
    <w:next w:val="1"/>
    <w:link w:val="30"/>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 w:type="paragraph" w:styleId="8">
    <w:name w:val="caption"/>
    <w:basedOn w:val="1"/>
    <w:next w:val="1"/>
    <w:unhideWhenUsed/>
    <w:qFormat/>
    <w:uiPriority w:val="0"/>
    <w:rPr>
      <w:rFonts w:eastAsia="黑体" w:asciiTheme="majorHAnsi" w:hAnsiTheme="majorHAnsi" w:cstheme="majorBidi"/>
      <w:sz w:val="20"/>
      <w:szCs w:val="20"/>
    </w:rPr>
  </w:style>
  <w:style w:type="paragraph" w:styleId="9">
    <w:name w:val="annotation text"/>
    <w:basedOn w:val="1"/>
    <w:link w:val="26"/>
    <w:unhideWhenUsed/>
    <w:qFormat/>
    <w:uiPriority w:val="0"/>
    <w:pPr>
      <w:jc w:val="left"/>
    </w:p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9"/>
    <w:next w:val="9"/>
    <w:link w:val="27"/>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annotation reference"/>
    <w:basedOn w:val="17"/>
    <w:semiHidden/>
    <w:unhideWhenUsed/>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0"/>
    <w:rPr>
      <w:kern w:val="2"/>
      <w:sz w:val="18"/>
      <w:szCs w:val="18"/>
    </w:rPr>
  </w:style>
  <w:style w:type="character" w:customStyle="1" w:styleId="22">
    <w:name w:val="标题 1 字符"/>
    <w:basedOn w:val="17"/>
    <w:link w:val="2"/>
    <w:qFormat/>
    <w:uiPriority w:val="0"/>
    <w:rPr>
      <w:rFonts w:ascii="黑体" w:hAnsi="黑体" w:eastAsia="黑体" w:cs="宋体"/>
      <w:b/>
      <w:bCs/>
      <w:sz w:val="32"/>
      <w:szCs w:val="32"/>
    </w:rPr>
  </w:style>
  <w:style w:type="character" w:customStyle="1" w:styleId="23">
    <w:name w:val="标题 2 字符"/>
    <w:basedOn w:val="17"/>
    <w:link w:val="3"/>
    <w:qFormat/>
    <w:uiPriority w:val="0"/>
    <w:rPr>
      <w:rFonts w:ascii="楷体" w:hAnsi="楷体" w:eastAsia="楷体" w:cs="楷体"/>
      <w:b/>
      <w:bCs/>
      <w:sz w:val="32"/>
      <w:szCs w:val="32"/>
    </w:rPr>
  </w:style>
  <w:style w:type="character" w:customStyle="1" w:styleId="24">
    <w:name w:val="标题 3 字符"/>
    <w:basedOn w:val="17"/>
    <w:link w:val="4"/>
    <w:qFormat/>
    <w:uiPriority w:val="0"/>
    <w:rPr>
      <w:rFonts w:ascii="仿宋_GB2312" w:hAnsi="仿宋_GB2312" w:eastAsia="仿宋_GB2312" w:cs="仿宋_GB2312"/>
      <w:b/>
      <w:bCs/>
      <w:sz w:val="32"/>
      <w:szCs w:val="32"/>
    </w:rPr>
  </w:style>
  <w:style w:type="character" w:customStyle="1" w:styleId="25">
    <w:name w:val="标题 4 字符"/>
    <w:basedOn w:val="17"/>
    <w:link w:val="6"/>
    <w:qFormat/>
    <w:uiPriority w:val="0"/>
    <w:rPr>
      <w:rFonts w:ascii="仿宋" w:hAnsi="仿宋" w:eastAsia="仿宋" w:cs="Times New Roman"/>
      <w:kern w:val="2"/>
      <w:sz w:val="32"/>
      <w:szCs w:val="28"/>
    </w:rPr>
  </w:style>
  <w:style w:type="character" w:customStyle="1" w:styleId="26">
    <w:name w:val="批注文字 字符"/>
    <w:basedOn w:val="17"/>
    <w:link w:val="9"/>
    <w:qFormat/>
    <w:uiPriority w:val="0"/>
    <w:rPr>
      <w:kern w:val="2"/>
      <w:sz w:val="21"/>
      <w:szCs w:val="22"/>
    </w:rPr>
  </w:style>
  <w:style w:type="character" w:customStyle="1" w:styleId="27">
    <w:name w:val="批注主题 字符"/>
    <w:basedOn w:val="26"/>
    <w:link w:val="14"/>
    <w:semiHidden/>
    <w:qFormat/>
    <w:uiPriority w:val="0"/>
    <w:rPr>
      <w:b/>
      <w:bCs/>
      <w:kern w:val="2"/>
      <w:sz w:val="21"/>
      <w:szCs w:val="22"/>
    </w:rPr>
  </w:style>
  <w:style w:type="character" w:customStyle="1" w:styleId="28">
    <w:name w:val="标题 字符"/>
    <w:basedOn w:val="17"/>
    <w:link w:val="13"/>
    <w:qFormat/>
    <w:uiPriority w:val="10"/>
    <w:rPr>
      <w:rFonts w:ascii="Cambria" w:hAnsi="Cambria" w:eastAsia="宋体" w:cs="Times New Roman"/>
      <w:b/>
      <w:bCs/>
      <w:kern w:val="2"/>
      <w:sz w:val="32"/>
      <w:szCs w:val="32"/>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标题 5 字符"/>
    <w:basedOn w:val="17"/>
    <w:link w:val="7"/>
    <w:semiHidden/>
    <w:qFormat/>
    <w:uiPriority w:val="0"/>
    <w:rPr>
      <w:b/>
      <w:bCs/>
      <w:kern w:val="2"/>
      <w:sz w:val="28"/>
      <w:szCs w:val="28"/>
    </w:rPr>
  </w:style>
  <w:style w:type="paragraph" w:customStyle="1" w:styleId="31">
    <w:name w:val="msolistparagraph"/>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E31BC-CFBC-424B-8C1E-AD4200C98EC2}">
  <ds:schemaRefs/>
</ds:datastoreItem>
</file>

<file path=docProps/app.xml><?xml version="1.0" encoding="utf-8"?>
<Properties xmlns="http://schemas.openxmlformats.org/officeDocument/2006/extended-properties" xmlns:vt="http://schemas.openxmlformats.org/officeDocument/2006/docPropsVTypes">
  <Template>Normal</Template>
  <Pages>11</Pages>
  <Words>1236</Words>
  <Characters>1351</Characters>
  <Lines>45</Lines>
  <Paragraphs>12</Paragraphs>
  <TotalTime>23</TotalTime>
  <ScaleCrop>false</ScaleCrop>
  <LinksUpToDate>false</LinksUpToDate>
  <CharactersWithSpaces>1375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2024-11-06T10:37:00Z</dcterms:created>
  <dc:creator>user</dc:creator>
  <cp:lastModifiedBy>HC</cp:lastModifiedBy>
  <cp:lastPrinted>2024-11-13T00:45:00Z</cp:lastPrinted>
  <dcterms:modified xsi:type="dcterms:W3CDTF">2024-11-13T00:51:26Z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E2D6526E924649AE923CB36BC0C9A60A_12</vt:lpwstr>
  </property>
</Properties>
</file>