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3095E">
      <w:pPr>
        <w:pStyle w:val="15"/>
        <w:spacing w:after="0" w:line="560" w:lineRule="exact"/>
        <w:ind w:left="0" w:leftChars="0" w:firstLine="0"/>
        <w:rPr>
          <w:rFonts w:hint="eastAsia" w:ascii="黑体" w:hAnsi="黑体" w:eastAsia="黑体" w:cs="黑体"/>
          <w:sz w:val="32"/>
          <w:szCs w:val="32"/>
          <w:highlight w:val="yellow"/>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16055AD0">
      <w:pPr>
        <w:spacing w:line="560" w:lineRule="exact"/>
        <w:jc w:val="center"/>
        <w:rPr>
          <w:rFonts w:hint="eastAsia" w:ascii="方正小标宋简体" w:hAnsi="方正小标宋简体" w:eastAsia="方正小标宋简体" w:cs="方正小标宋简体"/>
          <w:bCs/>
          <w:kern w:val="0"/>
          <w:sz w:val="44"/>
          <w:szCs w:val="44"/>
          <w:shd w:val="clear" w:color="auto" w:fill="FFFFFF"/>
        </w:rPr>
      </w:pPr>
      <w:r>
        <w:rPr>
          <w:rFonts w:hint="eastAsia" w:ascii="方正小标宋简体" w:hAnsi="方正小标宋简体" w:eastAsia="方正小标宋简体" w:cs="方正小标宋简体"/>
          <w:bCs/>
          <w:kern w:val="0"/>
          <w:sz w:val="44"/>
          <w:szCs w:val="44"/>
          <w:shd w:val="clear" w:color="auto" w:fill="FFFFFF"/>
          <w:lang w:eastAsia="zh-CN"/>
        </w:rPr>
        <w:t>运维</w:t>
      </w:r>
      <w:r>
        <w:rPr>
          <w:rFonts w:hint="eastAsia" w:ascii="方正小标宋简体" w:hAnsi="方正小标宋简体" w:eastAsia="方正小标宋简体" w:cs="方正小标宋简体"/>
          <w:bCs/>
          <w:kern w:val="0"/>
          <w:sz w:val="44"/>
          <w:szCs w:val="44"/>
          <w:shd w:val="clear" w:color="auto" w:fill="FFFFFF"/>
        </w:rPr>
        <w:t>服务要求</w:t>
      </w:r>
    </w:p>
    <w:p w14:paraId="7763DC13">
      <w:pPr>
        <w:spacing w:line="560" w:lineRule="exact"/>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本项目提供基于福建省省级一体化协同办公平台的省水利厅机关无纸化会议系统运维服务，主要包括</w:t>
      </w:r>
      <w:r>
        <w:rPr>
          <w:rFonts w:hint="eastAsia" w:ascii="仿宋_GB2312" w:hAnsi="仿宋_GB2312" w:eastAsia="仿宋_GB2312" w:cs="仿宋_GB2312"/>
          <w:sz w:val="32"/>
          <w:szCs w:val="32"/>
          <w:lang w:eastAsia="zh-CN"/>
        </w:rPr>
        <w:t>硬件服务、</w:t>
      </w:r>
      <w:r>
        <w:rPr>
          <w:rFonts w:hint="eastAsia" w:ascii="仿宋_GB2312" w:hAnsi="仿宋_GB2312" w:eastAsia="仿宋_GB2312" w:cs="仿宋_GB2312"/>
          <w:sz w:val="32"/>
          <w:szCs w:val="32"/>
        </w:rPr>
        <w:t>日常巡检、</w:t>
      </w:r>
      <w:r>
        <w:rPr>
          <w:rFonts w:hint="eastAsia" w:ascii="仿宋_GB2312" w:hAnsi="仿宋_GB2312" w:eastAsia="仿宋_GB2312" w:cs="仿宋_GB2312"/>
          <w:sz w:val="32"/>
          <w:szCs w:val="32"/>
          <w:lang w:eastAsia="zh-CN"/>
        </w:rPr>
        <w:t>一线会议保障、二线</w:t>
      </w:r>
      <w:r>
        <w:rPr>
          <w:rFonts w:hint="eastAsia" w:ascii="仿宋_GB2312" w:hAnsi="仿宋_GB2312" w:eastAsia="仿宋_GB2312" w:cs="仿宋_GB2312"/>
          <w:sz w:val="32"/>
          <w:szCs w:val="32"/>
        </w:rPr>
        <w:t>技术支持、故障处理等服务。</w:t>
      </w:r>
    </w:p>
    <w:p w14:paraId="6D62B8F4">
      <w:pPr>
        <w:spacing w:line="560" w:lineRule="exact"/>
        <w:ind w:firstLine="624" w:firstLineChars="200"/>
        <w:outlineLvl w:val="0"/>
        <w:rPr>
          <w:rFonts w:hint="eastAsia" w:ascii="黑体" w:hAnsi="黑体" w:eastAsia="黑体" w:cs="黑体"/>
          <w:sz w:val="32"/>
          <w:szCs w:val="32"/>
        </w:rPr>
      </w:pPr>
      <w:r>
        <w:rPr>
          <w:rFonts w:hint="eastAsia" w:ascii="黑体" w:hAnsi="黑体" w:eastAsia="黑体" w:cs="黑体"/>
          <w:sz w:val="32"/>
          <w:szCs w:val="32"/>
        </w:rPr>
        <w:t>一、系统运维服务内容</w:t>
      </w:r>
    </w:p>
    <w:p w14:paraId="5B32CE7B">
      <w:pPr>
        <w:pStyle w:val="23"/>
        <w:ind w:firstLine="626"/>
        <w:rPr>
          <w:rFonts w:hint="eastAsia" w:eastAsia="仿宋_GB2312"/>
          <w:b/>
          <w:bCs/>
          <w:highlight w:val="none"/>
          <w:lang w:eastAsia="zh-CN"/>
        </w:rPr>
      </w:pPr>
      <w:r>
        <w:rPr>
          <w:rFonts w:hint="eastAsia"/>
          <w:b/>
          <w:bCs/>
          <w:highlight w:val="none"/>
          <w:lang w:val="en-US" w:eastAsia="zh-CN"/>
        </w:rPr>
        <w:t>1</w:t>
      </w:r>
      <w:r>
        <w:rPr>
          <w:rFonts w:hint="eastAsia"/>
          <w:b/>
          <w:bCs/>
          <w:highlight w:val="none"/>
        </w:rPr>
        <w:t>.硬件</w:t>
      </w:r>
      <w:r>
        <w:rPr>
          <w:rFonts w:hint="eastAsia"/>
          <w:b/>
          <w:bCs/>
          <w:highlight w:val="none"/>
          <w:lang w:eastAsia="zh-CN"/>
        </w:rPr>
        <w:t>服务</w:t>
      </w:r>
    </w:p>
    <w:p w14:paraId="3E50410F">
      <w:pPr>
        <w:pStyle w:val="23"/>
        <w:ind w:firstLine="624" w:firstLineChars="200"/>
        <w:rPr>
          <w:rFonts w:hint="eastAsia"/>
          <w:highlight w:val="none"/>
        </w:rPr>
      </w:pPr>
      <w:r>
        <w:rPr>
          <w:rFonts w:hint="eastAsia"/>
          <w:highlight w:val="none"/>
        </w:rPr>
        <w:t>提供45台会议平板电脑</w:t>
      </w:r>
      <w:r>
        <w:rPr>
          <w:rFonts w:hint="eastAsia"/>
          <w:highlight w:val="none"/>
          <w:lang w:eastAsia="zh-CN"/>
        </w:rPr>
        <w:t>和</w:t>
      </w:r>
      <w:r>
        <w:rPr>
          <w:rFonts w:hint="eastAsia"/>
          <w:highlight w:val="none"/>
        </w:rPr>
        <w:t>1台平板充电柜</w:t>
      </w:r>
      <w:r>
        <w:rPr>
          <w:rFonts w:hint="eastAsia"/>
          <w:highlight w:val="none"/>
          <w:lang w:eastAsia="zh-CN"/>
        </w:rPr>
        <w:t>驻场服务，如硬件损</w:t>
      </w:r>
      <w:r>
        <w:rPr>
          <w:rFonts w:hint="eastAsia"/>
          <w:highlight w:val="none"/>
        </w:rPr>
        <w:t>坏及故障</w:t>
      </w:r>
      <w:r>
        <w:rPr>
          <w:rFonts w:hint="eastAsia"/>
          <w:highlight w:val="none"/>
          <w:lang w:eastAsia="zh-CN"/>
        </w:rPr>
        <w:t>提供</w:t>
      </w:r>
      <w:r>
        <w:rPr>
          <w:rFonts w:hint="eastAsia"/>
          <w:highlight w:val="none"/>
        </w:rPr>
        <w:t>免费上门维修，并承担非主要部件更换安装；如需更换主要部件（屏幕、主板、硬盘、CPU等），经采购人同意，可委托投标人进行采购，主要部件费用由采购人承担，投标人负责人工维修安装等服务，不收取服务费。硬件维修需在5个工作日内完成，硬件丢失需在10个工作日内补齐。</w:t>
      </w:r>
    </w:p>
    <w:p w14:paraId="7F8C2FD4">
      <w:pPr>
        <w:pStyle w:val="23"/>
        <w:ind w:firstLine="626"/>
        <w:rPr>
          <w:rFonts w:hint="eastAsia"/>
          <w:b/>
          <w:bCs/>
        </w:rPr>
      </w:pPr>
      <w:r>
        <w:rPr>
          <w:rFonts w:hint="eastAsia"/>
          <w:b/>
          <w:bCs/>
          <w:lang w:val="en-US" w:eastAsia="zh-CN"/>
        </w:rPr>
        <w:t>2</w:t>
      </w:r>
      <w:r>
        <w:rPr>
          <w:rFonts w:hint="eastAsia"/>
          <w:b/>
          <w:bCs/>
        </w:rPr>
        <w:t>.日常巡检</w:t>
      </w:r>
    </w:p>
    <w:p w14:paraId="0C7240A8">
      <w:pPr>
        <w:pStyle w:val="23"/>
        <w:rPr>
          <w:rFonts w:hint="eastAsia"/>
        </w:rPr>
      </w:pPr>
      <w:r>
        <w:rPr>
          <w:rFonts w:hint="eastAsia"/>
        </w:rPr>
        <w:t>投标人中标后3个工作日内提供巡检记录单，并经采购人确认通过。每周安排技术人员对无纸化会议系统功能模块及硬件进行巡检，记录巡检结果，及时处置故障和隐患。每季度汇总巡检单，并于次季度前5个工作日内出具巡检报告。主要巡检内容：</w:t>
      </w:r>
    </w:p>
    <w:p w14:paraId="4751E53F">
      <w:pPr>
        <w:pStyle w:val="23"/>
        <w:rPr>
          <w:rFonts w:hint="eastAsia"/>
        </w:rPr>
      </w:pPr>
      <w:r>
        <w:rPr>
          <w:rFonts w:hint="eastAsia"/>
        </w:rPr>
        <w:t>（1）关键业务巡检：对业务模型、会务基础信息设计引擎、节点设计引擎、表格设计引擎、消息服务引擎等关键业务进行可用性、响应速度、稳定性等方面的巡检。</w:t>
      </w:r>
    </w:p>
    <w:p w14:paraId="38ECA811">
      <w:pPr>
        <w:pStyle w:val="23"/>
        <w:rPr>
          <w:rFonts w:hint="eastAsia"/>
        </w:rPr>
      </w:pPr>
      <w:r>
        <w:rPr>
          <w:rFonts w:hint="eastAsia"/>
        </w:rPr>
        <w:t>（2）系统核心功能巡检：对服</w:t>
      </w:r>
      <w:r>
        <w:rPr>
          <w:rFonts w:hint="eastAsia"/>
          <w:highlight w:val="none"/>
          <w:u w:val="none"/>
        </w:rPr>
        <w:t>务</w:t>
      </w:r>
      <w:r>
        <w:rPr>
          <w:rFonts w:hint="eastAsia"/>
          <w:highlight w:val="none"/>
          <w:u w:val="none"/>
          <w:lang w:eastAsia="zh-CN"/>
        </w:rPr>
        <w:t>范围</w:t>
      </w:r>
      <w:r>
        <w:rPr>
          <w:rFonts w:hint="eastAsia"/>
          <w:highlight w:val="none"/>
          <w:u w:val="none"/>
        </w:rPr>
        <w:t>内的会议议程管理</w:t>
      </w:r>
      <w:r>
        <w:rPr>
          <w:rFonts w:hint="eastAsia"/>
          <w:highlight w:val="none"/>
          <w:u w:val="none"/>
          <w:lang w:eastAsia="zh-CN"/>
        </w:rPr>
        <w:t>、</w:t>
      </w:r>
      <w:r>
        <w:rPr>
          <w:rFonts w:hint="eastAsia"/>
          <w:highlight w:val="none"/>
          <w:u w:val="none"/>
        </w:rPr>
        <w:t>电子文件分发与阅读</w:t>
      </w:r>
      <w:r>
        <w:rPr>
          <w:rFonts w:hint="eastAsia"/>
          <w:highlight w:val="none"/>
          <w:u w:val="none"/>
          <w:lang w:eastAsia="zh-CN"/>
        </w:rPr>
        <w:t>、</w:t>
      </w:r>
      <w:r>
        <w:rPr>
          <w:rFonts w:hint="eastAsia"/>
          <w:highlight w:val="none"/>
          <w:u w:val="none"/>
        </w:rPr>
        <w:t>电子签到</w:t>
      </w:r>
      <w:r>
        <w:rPr>
          <w:rFonts w:hint="eastAsia"/>
          <w:highlight w:val="none"/>
          <w:u w:val="none"/>
          <w:lang w:eastAsia="zh-CN"/>
        </w:rPr>
        <w:t>、</w:t>
      </w:r>
      <w:r>
        <w:rPr>
          <w:rFonts w:hint="eastAsia"/>
          <w:highlight w:val="none"/>
          <w:u w:val="none"/>
        </w:rPr>
        <w:t>出席管理</w:t>
      </w:r>
      <w:r>
        <w:rPr>
          <w:rFonts w:hint="eastAsia"/>
          <w:highlight w:val="none"/>
          <w:u w:val="none"/>
          <w:lang w:eastAsia="zh-CN"/>
        </w:rPr>
        <w:t>等</w:t>
      </w:r>
      <w:r>
        <w:rPr>
          <w:rFonts w:hint="eastAsia"/>
          <w:highlight w:val="none"/>
          <w:u w:val="none"/>
        </w:rPr>
        <w:t>重要业务功能</w:t>
      </w:r>
      <w:r>
        <w:rPr>
          <w:rFonts w:hint="eastAsia"/>
        </w:rPr>
        <w:t>进行巡检，验证其可用性。</w:t>
      </w:r>
    </w:p>
    <w:p w14:paraId="42D8183A">
      <w:pPr>
        <w:pStyle w:val="23"/>
        <w:ind w:firstLine="624" w:firstLineChars="200"/>
        <w:rPr>
          <w:rFonts w:hint="eastAsia"/>
          <w:lang w:eastAsia="zh-CN"/>
        </w:rPr>
      </w:pPr>
      <w:r>
        <w:rPr>
          <w:rFonts w:hint="eastAsia"/>
        </w:rPr>
        <w:t>（3）服务器巡检：对本项目涉及到的服务器的CPU、内存、硬盘等使用情况进行日常巡检。监控CPU使用率不超过85%</w:t>
      </w:r>
      <w:r>
        <w:rPr>
          <w:rFonts w:hint="eastAsia"/>
          <w:lang w:eastAsia="zh-CN"/>
        </w:rPr>
        <w:t>；</w:t>
      </w:r>
      <w:r>
        <w:rPr>
          <w:rFonts w:hint="eastAsia"/>
        </w:rPr>
        <w:t>监控物理内存和虚拟内存使用率可用</w:t>
      </w:r>
      <w:r>
        <w:rPr>
          <w:rFonts w:hint="eastAsia"/>
          <w:lang w:eastAsia="zh-CN"/>
        </w:rPr>
        <w:t>比例</w:t>
      </w:r>
      <w:r>
        <w:rPr>
          <w:rFonts w:hint="eastAsia"/>
        </w:rPr>
        <w:t>≥20%</w:t>
      </w:r>
      <w:r>
        <w:rPr>
          <w:rFonts w:hint="eastAsia"/>
          <w:lang w:eastAsia="zh-CN"/>
        </w:rPr>
        <w:t>；</w:t>
      </w:r>
      <w:r>
        <w:rPr>
          <w:rFonts w:hint="eastAsia"/>
        </w:rPr>
        <w:t>监控硬盘剩余空间≥30%</w:t>
      </w:r>
      <w:r>
        <w:rPr>
          <w:rFonts w:hint="eastAsia"/>
          <w:lang w:eastAsia="zh-CN"/>
        </w:rPr>
        <w:t>；</w:t>
      </w:r>
      <w:r>
        <w:rPr>
          <w:rFonts w:hint="eastAsia"/>
        </w:rPr>
        <w:t>检查关键服务（如Web服务器、数据库服务、消息服务引擎</w:t>
      </w:r>
      <w:r>
        <w:rPr>
          <w:rFonts w:hint="eastAsia"/>
          <w:lang w:eastAsia="zh-CN"/>
        </w:rPr>
        <w:t>等</w:t>
      </w:r>
      <w:r>
        <w:rPr>
          <w:rFonts w:hint="eastAsia"/>
        </w:rPr>
        <w:t>）无异常停止或重启</w:t>
      </w:r>
      <w:r>
        <w:rPr>
          <w:rFonts w:hint="eastAsia"/>
          <w:lang w:eastAsia="zh-CN"/>
        </w:rPr>
        <w:t>；</w:t>
      </w:r>
      <w:r>
        <w:rPr>
          <w:rFonts w:hint="eastAsia"/>
        </w:rPr>
        <w:t>测试网络接口状态</w:t>
      </w:r>
      <w:r>
        <w:rPr>
          <w:rFonts w:hint="eastAsia"/>
          <w:lang w:eastAsia="zh-CN"/>
        </w:rPr>
        <w:t>无丢包、延迟等异常现象。</w:t>
      </w:r>
    </w:p>
    <w:p w14:paraId="068A0787">
      <w:pPr>
        <w:pStyle w:val="23"/>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驻场硬件巡检：对45台会议平板电脑、1台平板充电柜和45台套版式阅读编辑器软件等使用情况进行日常巡检，确保设备完好、功能齐全</w:t>
      </w:r>
      <w:r>
        <w:rPr>
          <w:rFonts w:hint="eastAsia"/>
          <w:highlight w:val="none"/>
          <w:lang w:eastAsia="zh-CN"/>
        </w:rPr>
        <w:t>、</w:t>
      </w:r>
      <w:r>
        <w:rPr>
          <w:rFonts w:hint="eastAsia"/>
          <w:highlight w:val="none"/>
        </w:rPr>
        <w:t>电量充足</w:t>
      </w:r>
      <w:r>
        <w:rPr>
          <w:rFonts w:hint="eastAsia"/>
          <w:highlight w:val="none"/>
          <w:lang w:eastAsia="zh-CN"/>
        </w:rPr>
        <w:t>，以及无纸化系统在平板电脑上运行顺畅</w:t>
      </w:r>
      <w:r>
        <w:rPr>
          <w:rFonts w:hint="eastAsia"/>
          <w:highlight w:val="none"/>
        </w:rPr>
        <w:t>。</w:t>
      </w:r>
    </w:p>
    <w:p w14:paraId="005BA7CE">
      <w:pPr>
        <w:pStyle w:val="23"/>
        <w:numPr>
          <w:ilvl w:val="-1"/>
          <w:numId w:val="0"/>
        </w:numPr>
        <w:ind w:firstLine="468" w:firstLineChars="150"/>
      </w:pPr>
      <w:r>
        <w:rPr>
          <w:rFonts w:hint="eastAsia"/>
          <w:lang w:eastAsia="zh-CN"/>
        </w:rPr>
        <w:t>（</w:t>
      </w:r>
      <w:r>
        <w:rPr>
          <w:rFonts w:hint="eastAsia"/>
          <w:lang w:val="en-US" w:eastAsia="zh-CN"/>
        </w:rPr>
        <w:t>5</w:t>
      </w:r>
      <w:r>
        <w:rPr>
          <w:rFonts w:hint="eastAsia"/>
          <w:lang w:eastAsia="zh-CN"/>
        </w:rPr>
        <w:t>）</w:t>
      </w:r>
      <w:r>
        <w:rPr>
          <w:rFonts w:hint="eastAsia"/>
        </w:rPr>
        <w:t>巡检频率</w:t>
      </w:r>
    </w:p>
    <w:p w14:paraId="637C3D28">
      <w:pPr>
        <w:pStyle w:val="23"/>
        <w:rPr>
          <w:rFonts w:hint="eastAsia"/>
        </w:rPr>
      </w:pPr>
      <w:r>
        <w:rPr>
          <w:rFonts w:hint="eastAsia"/>
        </w:rPr>
        <w:t>日常巡检：每周安排1次</w:t>
      </w:r>
      <w:r>
        <w:rPr>
          <w:rFonts w:hint="eastAsia"/>
          <w:lang w:eastAsia="zh-CN"/>
        </w:rPr>
        <w:t>系统平台和驻场硬件的</w:t>
      </w:r>
      <w:r>
        <w:rPr>
          <w:rFonts w:hint="eastAsia"/>
        </w:rPr>
        <w:t>全面巡检（具体日期可根据采购人会议安排灵活调整，但确保每周至少1次）。</w:t>
      </w:r>
    </w:p>
    <w:p w14:paraId="0D5C6CFF">
      <w:pPr>
        <w:pStyle w:val="23"/>
        <w:rPr>
          <w:rFonts w:hint="eastAsia"/>
        </w:rPr>
      </w:pPr>
      <w:r>
        <w:rPr>
          <w:rFonts w:hint="eastAsia"/>
        </w:rPr>
        <w:t>实时监控：实时采集服务器运行状态，异常情况（如CPU使用率超85%或硬盘故障</w:t>
      </w:r>
      <w:r>
        <w:rPr>
          <w:rFonts w:hint="eastAsia"/>
          <w:lang w:eastAsia="zh-CN"/>
        </w:rPr>
        <w:t>等</w:t>
      </w:r>
      <w:r>
        <w:rPr>
          <w:rFonts w:hint="eastAsia"/>
        </w:rPr>
        <w:t>）触发告警并记录。</w:t>
      </w:r>
    </w:p>
    <w:p w14:paraId="7AB15056">
      <w:pPr>
        <w:pStyle w:val="23"/>
      </w:pPr>
      <w:r>
        <w:rPr>
          <w:rFonts w:hint="eastAsia"/>
        </w:rPr>
        <w:t>应急巡检：</w:t>
      </w:r>
      <w:r>
        <w:rPr>
          <w:rFonts w:hint="eastAsia"/>
          <w:lang w:eastAsia="zh-CN"/>
        </w:rPr>
        <w:t>按</w:t>
      </w:r>
      <w:r>
        <w:rPr>
          <w:rFonts w:hint="eastAsia"/>
        </w:rPr>
        <w:t>采购人要求</w:t>
      </w:r>
      <w:r>
        <w:rPr>
          <w:rFonts w:hint="eastAsia"/>
          <w:lang w:eastAsia="zh-CN"/>
        </w:rPr>
        <w:t>，在</w:t>
      </w:r>
      <w:r>
        <w:rPr>
          <w:rFonts w:hint="eastAsia"/>
        </w:rPr>
        <w:t>发生突发事件（如系统响应缓慢、会议期间异常</w:t>
      </w:r>
      <w:r>
        <w:rPr>
          <w:rFonts w:hint="eastAsia"/>
          <w:lang w:eastAsia="zh-CN"/>
        </w:rPr>
        <w:t>等</w:t>
      </w:r>
      <w:r>
        <w:rPr>
          <w:rFonts w:hint="eastAsia"/>
        </w:rPr>
        <w:t>），供应商须在30分钟内响应并开展远程或现场巡检。</w:t>
      </w:r>
    </w:p>
    <w:p w14:paraId="631060E7">
      <w:pPr>
        <w:pStyle w:val="23"/>
        <w:ind w:firstLine="626"/>
        <w:rPr>
          <w:rFonts w:hint="eastAsia"/>
          <w:b/>
          <w:bCs/>
          <w:highlight w:val="none"/>
        </w:rPr>
      </w:pPr>
      <w:r>
        <w:rPr>
          <w:rFonts w:hint="eastAsia"/>
          <w:b/>
          <w:bCs/>
          <w:highlight w:val="none"/>
          <w:lang w:val="en-US" w:eastAsia="zh-CN"/>
        </w:rPr>
        <w:t>3</w:t>
      </w:r>
      <w:r>
        <w:rPr>
          <w:rFonts w:hint="eastAsia"/>
          <w:b/>
          <w:bCs/>
          <w:highlight w:val="none"/>
        </w:rPr>
        <w:t>.一线会议保障</w:t>
      </w:r>
    </w:p>
    <w:p w14:paraId="730320BF">
      <w:pPr>
        <w:pStyle w:val="23"/>
        <w:rPr>
          <w:rFonts w:hint="eastAsia"/>
          <w:highlight w:val="none"/>
        </w:rPr>
      </w:pPr>
      <w:r>
        <w:rPr>
          <w:rFonts w:hint="eastAsia"/>
          <w:highlight w:val="none"/>
        </w:rPr>
        <w:t>按采购人要求，对指定的无纸化会议进行会前、会中、会后全方位现场保障，确保会议正常开展。</w:t>
      </w:r>
    </w:p>
    <w:p w14:paraId="306C0A6A">
      <w:pPr>
        <w:pStyle w:val="23"/>
        <w:rPr>
          <w:highlight w:val="none"/>
        </w:rPr>
      </w:pPr>
      <w:r>
        <w:rPr>
          <w:rFonts w:hint="eastAsia"/>
          <w:highlight w:val="none"/>
        </w:rPr>
        <w:t>（1）会前准备</w:t>
      </w:r>
    </w:p>
    <w:p w14:paraId="3462B944">
      <w:pPr>
        <w:pStyle w:val="23"/>
        <w:rPr>
          <w:highlight w:val="none"/>
        </w:rPr>
      </w:pPr>
      <w:r>
        <w:rPr>
          <w:rFonts w:hint="eastAsia"/>
          <w:highlight w:val="none"/>
        </w:rPr>
        <w:t>1）硬件设备检查</w:t>
      </w:r>
    </w:p>
    <w:p w14:paraId="368B7C12">
      <w:pPr>
        <w:pStyle w:val="23"/>
        <w:rPr>
          <w:highlight w:val="none"/>
        </w:rPr>
      </w:pPr>
      <w:r>
        <w:rPr>
          <w:rFonts w:hint="eastAsia"/>
          <w:highlight w:val="none"/>
        </w:rPr>
        <w:t>检查45台会议平板电脑：逐台验证开机状态、触摸屏灵敏度、音视频功能（扬声器、麦克风、摄像头）、网络连接（Wi-Fi/蓝牙）及电量（≥80%）。确保每台平板安装最新版本的版式阅读编辑器软件，并测试软件加载速度及稳定性。根据会场排座布局，将平板分配至对应座位，测试扫码报到及会议凭证生成功能，确保每台设备与参会人员信息精准匹配。</w:t>
      </w:r>
    </w:p>
    <w:p w14:paraId="4558168C">
      <w:pPr>
        <w:pStyle w:val="23"/>
        <w:rPr>
          <w:highlight w:val="none"/>
        </w:rPr>
      </w:pPr>
      <w:r>
        <w:rPr>
          <w:rFonts w:hint="eastAsia"/>
          <w:highlight w:val="none"/>
        </w:rPr>
        <w:t>2）软件系统验证</w:t>
      </w:r>
    </w:p>
    <w:p w14:paraId="29691BDD">
      <w:pPr>
        <w:pStyle w:val="23"/>
        <w:rPr>
          <w:rFonts w:hint="eastAsia"/>
          <w:highlight w:val="none"/>
        </w:rPr>
      </w:pPr>
      <w:r>
        <w:rPr>
          <w:rFonts w:hint="eastAsia"/>
          <w:highlight w:val="none"/>
          <w:lang w:eastAsia="zh-CN"/>
        </w:rPr>
        <w:t>发起无纸化会议，</w:t>
      </w:r>
      <w:r>
        <w:rPr>
          <w:rFonts w:hint="eastAsia"/>
          <w:highlight w:val="none"/>
        </w:rPr>
        <w:t>验证会议议程、议题库、参会人员列表、材料文件等是否正确导入并同步至平板端。测试核心功能（如议题展示、电子签到、材料在线浏览、通知推送</w:t>
      </w:r>
      <w:r>
        <w:rPr>
          <w:rFonts w:hint="eastAsia"/>
          <w:highlight w:val="none"/>
          <w:lang w:eastAsia="zh-CN"/>
        </w:rPr>
        <w:t>等</w:t>
      </w:r>
      <w:r>
        <w:rPr>
          <w:rFonts w:hint="eastAsia"/>
          <w:highlight w:val="none"/>
        </w:rPr>
        <w:t>），确保</w:t>
      </w:r>
      <w:r>
        <w:rPr>
          <w:rFonts w:hint="eastAsia"/>
          <w:highlight w:val="none"/>
          <w:lang w:eastAsia="zh-CN"/>
        </w:rPr>
        <w:t>软件</w:t>
      </w:r>
      <w:r>
        <w:rPr>
          <w:rFonts w:hint="eastAsia"/>
          <w:highlight w:val="none"/>
        </w:rPr>
        <w:t>功能正常。</w:t>
      </w:r>
    </w:p>
    <w:p w14:paraId="22D5B381">
      <w:pPr>
        <w:pStyle w:val="23"/>
        <w:rPr>
          <w:highlight w:val="none"/>
        </w:rPr>
      </w:pPr>
      <w:r>
        <w:rPr>
          <w:rFonts w:hint="eastAsia"/>
          <w:highlight w:val="none"/>
        </w:rPr>
        <w:t>（2）会中保障</w:t>
      </w:r>
    </w:p>
    <w:p w14:paraId="30E2A9BC">
      <w:pPr>
        <w:pStyle w:val="23"/>
        <w:rPr>
          <w:rFonts w:hint="eastAsia" w:eastAsia="仿宋_GB2312"/>
          <w:highlight w:val="none"/>
          <w:lang w:eastAsia="zh-CN"/>
        </w:rPr>
      </w:pPr>
      <w:r>
        <w:rPr>
          <w:rFonts w:hint="eastAsia"/>
          <w:highlight w:val="none"/>
          <w:lang w:eastAsia="zh-CN"/>
        </w:rPr>
        <w:t>提供现场技术支持，主动协助参会者登录系统、扫描参会，协助记录未到人员并报告会议管理员，</w:t>
      </w:r>
      <w:r>
        <w:rPr>
          <w:rFonts w:hint="eastAsia"/>
          <w:highlight w:val="none"/>
        </w:rPr>
        <w:t>对参会者提出的问题（如平板操作、</w:t>
      </w:r>
      <w:r>
        <w:rPr>
          <w:rFonts w:hint="eastAsia"/>
          <w:highlight w:val="none"/>
          <w:lang w:eastAsia="zh-CN"/>
        </w:rPr>
        <w:t>软件卡顿、</w:t>
      </w:r>
      <w:r>
        <w:rPr>
          <w:rFonts w:hint="eastAsia"/>
          <w:highlight w:val="none"/>
        </w:rPr>
        <w:t>签到失败、材料加载错误</w:t>
      </w:r>
      <w:r>
        <w:rPr>
          <w:rFonts w:hint="eastAsia"/>
          <w:highlight w:val="none"/>
          <w:lang w:eastAsia="zh-CN"/>
        </w:rPr>
        <w:t>、议题切换失败、电量不足、无线网络连接失败等</w:t>
      </w:r>
      <w:r>
        <w:rPr>
          <w:rFonts w:hint="eastAsia"/>
          <w:highlight w:val="none"/>
        </w:rPr>
        <w:t>）提供即时支持</w:t>
      </w:r>
      <w:r>
        <w:rPr>
          <w:rFonts w:hint="eastAsia"/>
          <w:highlight w:val="none"/>
          <w:lang w:eastAsia="zh-CN"/>
        </w:rPr>
        <w:t>。</w:t>
      </w:r>
    </w:p>
    <w:p w14:paraId="45A6DB10">
      <w:pPr>
        <w:pStyle w:val="23"/>
        <w:rPr>
          <w:highlight w:val="none"/>
        </w:rPr>
      </w:pPr>
      <w:r>
        <w:rPr>
          <w:rFonts w:hint="eastAsia"/>
          <w:highlight w:val="none"/>
        </w:rPr>
        <w:t>（3）会后整理</w:t>
      </w:r>
    </w:p>
    <w:p w14:paraId="652E3F22">
      <w:pPr>
        <w:pStyle w:val="23"/>
        <w:rPr>
          <w:rFonts w:hint="eastAsia"/>
          <w:highlight w:val="none"/>
        </w:rPr>
      </w:pPr>
      <w:r>
        <w:rPr>
          <w:rFonts w:hint="eastAsia"/>
          <w:highlight w:val="none"/>
        </w:rPr>
        <w:t>逐一核对45台会议平板电脑及1台平板充电柜的数量和编号，确保无丢失或损坏</w:t>
      </w:r>
      <w:r>
        <w:rPr>
          <w:rFonts w:hint="eastAsia"/>
          <w:highlight w:val="none"/>
          <w:lang w:eastAsia="zh-CN"/>
        </w:rPr>
        <w:t>；</w:t>
      </w:r>
      <w:r>
        <w:rPr>
          <w:rFonts w:hint="eastAsia"/>
          <w:highlight w:val="none"/>
        </w:rPr>
        <w:t>检查设备外观及功能完整性，记录异常情况（如屏幕划痕、充电口故障</w:t>
      </w:r>
      <w:r>
        <w:rPr>
          <w:rFonts w:hint="eastAsia"/>
          <w:highlight w:val="none"/>
          <w:lang w:eastAsia="zh-CN"/>
        </w:rPr>
        <w:t>等</w:t>
      </w:r>
      <w:r>
        <w:rPr>
          <w:rFonts w:hint="eastAsia"/>
          <w:highlight w:val="none"/>
        </w:rPr>
        <w:t>）</w:t>
      </w:r>
      <w:r>
        <w:rPr>
          <w:rFonts w:hint="eastAsia"/>
          <w:highlight w:val="none"/>
          <w:lang w:eastAsia="zh-CN"/>
        </w:rPr>
        <w:t>；</w:t>
      </w:r>
      <w:r>
        <w:rPr>
          <w:rFonts w:hint="eastAsia"/>
          <w:highlight w:val="none"/>
        </w:rPr>
        <w:t>将平板统一归库至充电柜，充电至≥80%电量，清洁设备表面，更新设备使用日志</w:t>
      </w:r>
      <w:r>
        <w:rPr>
          <w:rFonts w:hint="eastAsia"/>
          <w:highlight w:val="none"/>
          <w:lang w:eastAsia="zh-CN"/>
        </w:rPr>
        <w:t>；对会议材料进行归档，</w:t>
      </w:r>
      <w:r>
        <w:rPr>
          <w:rFonts w:hint="eastAsia"/>
          <w:highlight w:val="none"/>
        </w:rPr>
        <w:t>对涉及敏感信息的会议数据（如通讯录、会议材料）进行加密存储，符合《中华人民共和国个人信息保护法》及保密要求。</w:t>
      </w:r>
    </w:p>
    <w:p w14:paraId="40D4D792">
      <w:pPr>
        <w:pStyle w:val="23"/>
        <w:ind w:firstLine="626"/>
        <w:rPr>
          <w:rFonts w:hint="eastAsia"/>
          <w:b/>
          <w:bCs/>
          <w:highlight w:val="none"/>
        </w:rPr>
      </w:pPr>
      <w:r>
        <w:rPr>
          <w:rFonts w:hint="eastAsia"/>
          <w:b/>
          <w:bCs/>
          <w:highlight w:val="none"/>
          <w:lang w:val="en-US" w:eastAsia="zh-CN"/>
        </w:rPr>
        <w:t>4</w:t>
      </w:r>
      <w:r>
        <w:rPr>
          <w:rFonts w:hint="eastAsia"/>
          <w:b/>
          <w:bCs/>
          <w:highlight w:val="none"/>
        </w:rPr>
        <w:t>.二线技术支持</w:t>
      </w:r>
    </w:p>
    <w:p w14:paraId="0D44EAB2">
      <w:pPr>
        <w:pStyle w:val="23"/>
        <w:rPr>
          <w:rFonts w:hint="eastAsia"/>
          <w:highlight w:val="none"/>
        </w:rPr>
      </w:pPr>
      <w:r>
        <w:rPr>
          <w:rFonts w:hint="eastAsia"/>
          <w:highlight w:val="none"/>
        </w:rPr>
        <w:t>对服务期内遇到的技术问题提供24小时技术支持，包括电话技术支持、远程技术支持和现场技术支持。支持内容包括平台运行基础环境、平台软件系统本身的操作及系统配置等。采购人提出二线技术支持后，供应商需在30分钟响应。</w:t>
      </w:r>
    </w:p>
    <w:p w14:paraId="04DCEACF">
      <w:pPr>
        <w:pStyle w:val="23"/>
        <w:rPr>
          <w:rFonts w:hint="eastAsia"/>
          <w:highlight w:val="none"/>
        </w:rPr>
      </w:pPr>
      <w:r>
        <w:rPr>
          <w:rFonts w:hint="eastAsia"/>
          <w:highlight w:val="none"/>
        </w:rPr>
        <w:t>（1）使用协助：对厅机关无纸化会议系统功能模块系统使用等问题，按采购人要求提供远程咨询、现场培训、使用手册等方式的操作指引和问题解答，确保使用过程高效顺畅。</w:t>
      </w:r>
    </w:p>
    <w:p w14:paraId="27478E11">
      <w:pPr>
        <w:pStyle w:val="23"/>
        <w:rPr>
          <w:rFonts w:hint="eastAsia"/>
          <w:highlight w:val="none"/>
        </w:rPr>
      </w:pPr>
      <w:r>
        <w:rPr>
          <w:rFonts w:hint="eastAsia"/>
          <w:highlight w:val="none"/>
        </w:rPr>
        <w:t>（2）技术会商：选派技术人员与采购人探讨系统架构、系统功能、技术选型等问题，输出解决方案和建议。</w:t>
      </w:r>
    </w:p>
    <w:p w14:paraId="6BA0AB82">
      <w:pPr>
        <w:pStyle w:val="23"/>
        <w:rPr>
          <w:rFonts w:hint="eastAsia"/>
          <w:highlight w:val="none"/>
        </w:rPr>
      </w:pPr>
      <w:r>
        <w:rPr>
          <w:rFonts w:hint="eastAsia"/>
          <w:highlight w:val="none"/>
        </w:rPr>
        <w:t>（3）现场服务：根据采购人要求，对电话、远程无法解决的使用及运维问题，临时派遣技术人员进行现场服务，确保会议正常开展和系统正常运行。</w:t>
      </w:r>
    </w:p>
    <w:p w14:paraId="204962C5">
      <w:pPr>
        <w:pStyle w:val="23"/>
        <w:rPr>
          <w:rFonts w:hint="eastAsia"/>
          <w:highlight w:val="none"/>
        </w:rPr>
      </w:pPr>
      <w:r>
        <w:rPr>
          <w:rFonts w:hint="eastAsia"/>
          <w:highlight w:val="none"/>
        </w:rPr>
        <w:t>（4）系统升级：与省级一体化协同办公平台同步进行系统架构、软件版本、数据库、操作系统等适配升级。升级前应做好应急预案，提前沟通协调，确保系统功能正常使用。</w:t>
      </w:r>
    </w:p>
    <w:p w14:paraId="47FA20BD">
      <w:pPr>
        <w:pStyle w:val="23"/>
        <w:rPr>
          <w:rFonts w:hint="eastAsia" w:eastAsia="仿宋_GB2312"/>
          <w:highlight w:val="none"/>
          <w:lang w:eastAsia="zh-CN"/>
        </w:rPr>
      </w:pPr>
      <w:r>
        <w:rPr>
          <w:rFonts w:hint="eastAsia"/>
          <w:highlight w:val="none"/>
        </w:rPr>
        <w:t>（5）需求变更：按采购人要求，提供流程、表单、文档软件兼容性适配等合理需求变更服务，变更</w:t>
      </w:r>
      <w:r>
        <w:rPr>
          <w:rFonts w:hint="eastAsia"/>
          <w:highlight w:val="none"/>
          <w:lang w:eastAsia="zh-CN"/>
        </w:rPr>
        <w:t>内容</w:t>
      </w:r>
      <w:r>
        <w:rPr>
          <w:rFonts w:hint="eastAsia"/>
          <w:highlight w:val="none"/>
        </w:rPr>
        <w:t>不超出系统核心功能范围</w:t>
      </w:r>
      <w:r>
        <w:rPr>
          <w:rFonts w:hint="eastAsia"/>
          <w:highlight w:val="none"/>
          <w:lang w:eastAsia="zh-CN"/>
        </w:rPr>
        <w:t>。</w:t>
      </w:r>
      <w:r>
        <w:rPr>
          <w:rFonts w:hint="eastAsia"/>
          <w:highlight w:val="none"/>
        </w:rPr>
        <w:t>供应商</w:t>
      </w:r>
      <w:r>
        <w:rPr>
          <w:rFonts w:hint="eastAsia"/>
          <w:highlight w:val="none"/>
          <w:lang w:eastAsia="zh-CN"/>
        </w:rPr>
        <w:t>在采购人提出变更需求后应</w:t>
      </w:r>
      <w:r>
        <w:rPr>
          <w:rFonts w:hint="eastAsia"/>
          <w:highlight w:val="none"/>
        </w:rPr>
        <w:t>在3个工作日内</w:t>
      </w:r>
      <w:r>
        <w:rPr>
          <w:rFonts w:hint="eastAsia"/>
          <w:highlight w:val="none"/>
          <w:lang w:eastAsia="zh-CN"/>
        </w:rPr>
        <w:t>派员</w:t>
      </w:r>
      <w:r>
        <w:rPr>
          <w:rFonts w:hint="eastAsia"/>
          <w:highlight w:val="none"/>
        </w:rPr>
        <w:t>进行</w:t>
      </w:r>
      <w:r>
        <w:rPr>
          <w:rFonts w:hint="eastAsia"/>
          <w:highlight w:val="none"/>
          <w:lang w:eastAsia="zh-CN"/>
        </w:rPr>
        <w:t>技术对接和</w:t>
      </w:r>
      <w:r>
        <w:rPr>
          <w:rFonts w:hint="eastAsia"/>
          <w:highlight w:val="none"/>
        </w:rPr>
        <w:t>可行性评估，</w:t>
      </w:r>
      <w:r>
        <w:rPr>
          <w:rFonts w:hint="eastAsia"/>
          <w:highlight w:val="none"/>
          <w:lang w:eastAsia="zh-CN"/>
        </w:rPr>
        <w:t>提</w:t>
      </w:r>
      <w:r>
        <w:rPr>
          <w:rFonts w:hint="eastAsia"/>
          <w:highlight w:val="none"/>
        </w:rPr>
        <w:t>出</w:t>
      </w:r>
      <w:r>
        <w:rPr>
          <w:rFonts w:hint="eastAsia"/>
          <w:highlight w:val="none"/>
          <w:lang w:eastAsia="zh-CN"/>
        </w:rPr>
        <w:t>技术</w:t>
      </w:r>
      <w:r>
        <w:rPr>
          <w:rFonts w:hint="eastAsia"/>
          <w:highlight w:val="none"/>
        </w:rPr>
        <w:t>方案（包括变更范围、影响分析、实施计划及潜在风险</w:t>
      </w:r>
      <w:r>
        <w:rPr>
          <w:rFonts w:hint="eastAsia"/>
          <w:highlight w:val="none"/>
          <w:lang w:eastAsia="zh-CN"/>
        </w:rPr>
        <w:t>等</w:t>
      </w:r>
      <w:r>
        <w:rPr>
          <w:rFonts w:hint="eastAsia"/>
          <w:highlight w:val="none"/>
        </w:rPr>
        <w:t>），经采购人确认后执行</w:t>
      </w:r>
      <w:r>
        <w:rPr>
          <w:rFonts w:hint="eastAsia"/>
          <w:highlight w:val="none"/>
          <w:lang w:eastAsia="zh-CN"/>
        </w:rPr>
        <w:t>。</w:t>
      </w:r>
    </w:p>
    <w:p w14:paraId="2F51D8BA">
      <w:pPr>
        <w:pStyle w:val="23"/>
        <w:ind w:firstLine="626"/>
        <w:rPr>
          <w:rFonts w:hint="eastAsia"/>
          <w:b/>
          <w:bCs/>
          <w:highlight w:val="none"/>
        </w:rPr>
      </w:pPr>
      <w:r>
        <w:rPr>
          <w:rFonts w:hint="eastAsia"/>
          <w:b/>
          <w:bCs/>
          <w:highlight w:val="none"/>
          <w:lang w:val="en-US" w:eastAsia="zh-CN"/>
        </w:rPr>
        <w:t>5</w:t>
      </w:r>
      <w:r>
        <w:rPr>
          <w:rFonts w:hint="eastAsia"/>
          <w:b/>
          <w:bCs/>
          <w:highlight w:val="none"/>
        </w:rPr>
        <w:t>.故障处理</w:t>
      </w:r>
    </w:p>
    <w:p w14:paraId="23DA32F1">
      <w:pPr>
        <w:pStyle w:val="23"/>
        <w:rPr>
          <w:rFonts w:hint="eastAsia"/>
          <w:highlight w:val="none"/>
        </w:rPr>
      </w:pPr>
      <w:r>
        <w:rPr>
          <w:rFonts w:hint="eastAsia"/>
          <w:highlight w:val="none"/>
        </w:rPr>
        <w:t>无纸化会议系统使用过程中出现的错误流程、错误数据、错误格式、缺失数据、功能模块及驻场设备故障，提供系统后台或现场处置。每季度收集汇总故障类型，提出统一解决方案，避免类似故障重复发生。</w:t>
      </w:r>
    </w:p>
    <w:tbl>
      <w:tblPr>
        <w:tblStyle w:val="16"/>
        <w:tblW w:w="9000" w:type="dxa"/>
        <w:tblCellSpacing w:w="15"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496"/>
        <w:gridCol w:w="4103"/>
        <w:gridCol w:w="1551"/>
        <w:gridCol w:w="1850"/>
      </w:tblGrid>
      <w:tr w14:paraId="05CC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9" w:hRule="atLeast"/>
          <w:tblCellSpacing w:w="15" w:type="dxa"/>
        </w:trPr>
        <w:tc>
          <w:tcPr>
            <w:tcW w:w="1451" w:type="dxa"/>
            <w:shd w:val="clear" w:color="auto" w:fill="FFFFFF"/>
            <w:tcMar>
              <w:top w:w="0" w:type="dxa"/>
              <w:left w:w="105" w:type="dxa"/>
              <w:bottom w:w="0" w:type="dxa"/>
              <w:right w:w="105" w:type="dxa"/>
            </w:tcMar>
            <w:vAlign w:val="center"/>
          </w:tcPr>
          <w:p w14:paraId="4E98E97F">
            <w:pPr>
              <w:widowControl/>
              <w:spacing w:before="10" w:line="400" w:lineRule="exact"/>
              <w:jc w:val="center"/>
              <w:rPr>
                <w:rFonts w:hint="eastAsia" w:ascii="仿宋_GB2312" w:hAnsi="黑体" w:eastAsia="仿宋_GB2312" w:cs="黑体"/>
                <w:kern w:val="0"/>
                <w:sz w:val="28"/>
                <w:szCs w:val="28"/>
                <w:highlight w:val="none"/>
              </w:rPr>
            </w:pPr>
            <w:r>
              <w:rPr>
                <w:rFonts w:hint="eastAsia" w:ascii="仿宋_GB2312" w:hAnsi="黑体" w:eastAsia="仿宋_GB2312" w:cs="黑体"/>
                <w:kern w:val="0"/>
                <w:sz w:val="28"/>
                <w:szCs w:val="28"/>
                <w:highlight w:val="none"/>
              </w:rPr>
              <w:t>故障级别</w:t>
            </w:r>
          </w:p>
        </w:tc>
        <w:tc>
          <w:tcPr>
            <w:tcW w:w="4073" w:type="dxa"/>
            <w:shd w:val="clear" w:color="auto" w:fill="FFFFFF"/>
            <w:tcMar>
              <w:top w:w="0" w:type="dxa"/>
              <w:left w:w="105" w:type="dxa"/>
              <w:bottom w:w="0" w:type="dxa"/>
              <w:right w:w="105" w:type="dxa"/>
            </w:tcMar>
            <w:vAlign w:val="center"/>
          </w:tcPr>
          <w:p w14:paraId="0885740E">
            <w:pPr>
              <w:widowControl/>
              <w:spacing w:before="10" w:line="400" w:lineRule="exact"/>
              <w:jc w:val="center"/>
              <w:rPr>
                <w:rFonts w:hint="eastAsia" w:ascii="仿宋_GB2312" w:hAnsi="黑体" w:eastAsia="仿宋_GB2312" w:cs="黑体"/>
                <w:kern w:val="0"/>
                <w:sz w:val="28"/>
                <w:szCs w:val="28"/>
                <w:highlight w:val="none"/>
              </w:rPr>
            </w:pPr>
            <w:r>
              <w:rPr>
                <w:rFonts w:hint="eastAsia" w:ascii="仿宋_GB2312" w:hAnsi="黑体" w:eastAsia="仿宋_GB2312" w:cs="黑体"/>
                <w:kern w:val="0"/>
                <w:sz w:val="28"/>
                <w:szCs w:val="28"/>
                <w:highlight w:val="none"/>
              </w:rPr>
              <w:t>故障主要特征</w:t>
            </w:r>
          </w:p>
        </w:tc>
        <w:tc>
          <w:tcPr>
            <w:tcW w:w="1521" w:type="dxa"/>
            <w:shd w:val="clear" w:color="auto" w:fill="FFFFFF"/>
            <w:tcMar>
              <w:top w:w="0" w:type="dxa"/>
              <w:left w:w="105" w:type="dxa"/>
              <w:bottom w:w="0" w:type="dxa"/>
              <w:right w:w="105" w:type="dxa"/>
            </w:tcMar>
            <w:vAlign w:val="center"/>
          </w:tcPr>
          <w:p w14:paraId="40259B28">
            <w:pPr>
              <w:widowControl/>
              <w:spacing w:before="10" w:line="400" w:lineRule="exact"/>
              <w:jc w:val="center"/>
              <w:rPr>
                <w:rFonts w:hint="eastAsia" w:ascii="仿宋_GB2312" w:hAnsi="黑体" w:eastAsia="仿宋_GB2312" w:cs="黑体"/>
                <w:kern w:val="0"/>
                <w:sz w:val="28"/>
                <w:szCs w:val="28"/>
                <w:highlight w:val="none"/>
              </w:rPr>
            </w:pPr>
            <w:r>
              <w:rPr>
                <w:rFonts w:hint="eastAsia" w:ascii="仿宋_GB2312" w:hAnsi="黑体" w:eastAsia="仿宋_GB2312" w:cs="黑体"/>
                <w:kern w:val="0"/>
                <w:sz w:val="28"/>
                <w:szCs w:val="28"/>
                <w:highlight w:val="none"/>
              </w:rPr>
              <w:t>响应时间</w:t>
            </w:r>
          </w:p>
        </w:tc>
        <w:tc>
          <w:tcPr>
            <w:tcW w:w="1805" w:type="dxa"/>
            <w:shd w:val="clear" w:color="auto" w:fill="FFFFFF"/>
            <w:tcMar>
              <w:top w:w="0" w:type="dxa"/>
              <w:left w:w="105" w:type="dxa"/>
              <w:bottom w:w="0" w:type="dxa"/>
              <w:right w:w="105" w:type="dxa"/>
            </w:tcMar>
            <w:vAlign w:val="center"/>
          </w:tcPr>
          <w:p w14:paraId="58BC3E60">
            <w:pPr>
              <w:widowControl/>
              <w:spacing w:before="10" w:line="400" w:lineRule="exact"/>
              <w:jc w:val="center"/>
              <w:rPr>
                <w:rFonts w:hint="eastAsia" w:ascii="仿宋_GB2312" w:hAnsi="黑体" w:eastAsia="仿宋_GB2312" w:cs="黑体"/>
                <w:kern w:val="0"/>
                <w:sz w:val="28"/>
                <w:szCs w:val="28"/>
                <w:highlight w:val="none"/>
              </w:rPr>
            </w:pPr>
            <w:r>
              <w:rPr>
                <w:rFonts w:hint="eastAsia" w:ascii="仿宋_GB2312" w:hAnsi="黑体" w:eastAsia="仿宋_GB2312" w:cs="黑体"/>
                <w:kern w:val="0"/>
                <w:sz w:val="28"/>
                <w:szCs w:val="28"/>
                <w:highlight w:val="none"/>
              </w:rPr>
              <w:t>恢复时间</w:t>
            </w:r>
          </w:p>
        </w:tc>
      </w:tr>
      <w:tr w14:paraId="06E3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2" w:hRule="atLeast"/>
          <w:tblCellSpacing w:w="15" w:type="dxa"/>
        </w:trPr>
        <w:tc>
          <w:tcPr>
            <w:tcW w:w="1451" w:type="dxa"/>
            <w:shd w:val="clear" w:color="auto" w:fill="FFFFFF"/>
            <w:tcMar>
              <w:top w:w="0" w:type="dxa"/>
              <w:left w:w="105" w:type="dxa"/>
              <w:bottom w:w="0" w:type="dxa"/>
              <w:right w:w="105" w:type="dxa"/>
            </w:tcMar>
            <w:vAlign w:val="center"/>
          </w:tcPr>
          <w:p w14:paraId="5D077565">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紧急</w:t>
            </w:r>
          </w:p>
        </w:tc>
        <w:tc>
          <w:tcPr>
            <w:tcW w:w="4073" w:type="dxa"/>
            <w:shd w:val="clear" w:color="auto" w:fill="FFFFFF"/>
            <w:tcMar>
              <w:top w:w="0" w:type="dxa"/>
              <w:left w:w="105" w:type="dxa"/>
              <w:bottom w:w="0" w:type="dxa"/>
              <w:right w:w="105" w:type="dxa"/>
            </w:tcMar>
            <w:vAlign w:val="center"/>
          </w:tcPr>
          <w:p w14:paraId="0BC31CA0">
            <w:pPr>
              <w:widowControl/>
              <w:spacing w:before="10" w:line="400" w:lineRule="exact"/>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系统出现宕机等严重问题；系统无法启用；出现关键业务故障；系统故障可能造成重大安全事故或损失。</w:t>
            </w:r>
          </w:p>
        </w:tc>
        <w:tc>
          <w:tcPr>
            <w:tcW w:w="1521" w:type="dxa"/>
            <w:shd w:val="clear" w:color="auto" w:fill="FFFFFF"/>
            <w:tcMar>
              <w:top w:w="0" w:type="dxa"/>
              <w:left w:w="105" w:type="dxa"/>
              <w:bottom w:w="0" w:type="dxa"/>
              <w:right w:w="105" w:type="dxa"/>
            </w:tcMar>
            <w:vAlign w:val="center"/>
          </w:tcPr>
          <w:p w14:paraId="49EC3AA8">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10分钟</w:t>
            </w:r>
          </w:p>
        </w:tc>
        <w:tc>
          <w:tcPr>
            <w:tcW w:w="1805" w:type="dxa"/>
            <w:shd w:val="clear" w:color="auto" w:fill="FFFFFF"/>
            <w:tcMar>
              <w:top w:w="0" w:type="dxa"/>
              <w:left w:w="105" w:type="dxa"/>
              <w:bottom w:w="0" w:type="dxa"/>
              <w:right w:w="105" w:type="dxa"/>
            </w:tcMar>
            <w:vAlign w:val="center"/>
          </w:tcPr>
          <w:p w14:paraId="5FCDB8A0">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1小时内</w:t>
            </w:r>
          </w:p>
        </w:tc>
      </w:tr>
      <w:tr w14:paraId="1989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2" w:hRule="atLeast"/>
          <w:tblCellSpacing w:w="15" w:type="dxa"/>
        </w:trPr>
        <w:tc>
          <w:tcPr>
            <w:tcW w:w="1451" w:type="dxa"/>
            <w:shd w:val="clear" w:color="auto" w:fill="FFFFFF"/>
            <w:tcMar>
              <w:top w:w="0" w:type="dxa"/>
              <w:left w:w="105" w:type="dxa"/>
              <w:bottom w:w="0" w:type="dxa"/>
              <w:right w:w="105" w:type="dxa"/>
            </w:tcMar>
            <w:vAlign w:val="center"/>
          </w:tcPr>
          <w:p w14:paraId="45446C37">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一般</w:t>
            </w:r>
          </w:p>
        </w:tc>
        <w:tc>
          <w:tcPr>
            <w:tcW w:w="4073" w:type="dxa"/>
            <w:shd w:val="clear" w:color="auto" w:fill="FFFFFF"/>
            <w:tcMar>
              <w:top w:w="0" w:type="dxa"/>
              <w:left w:w="105" w:type="dxa"/>
              <w:bottom w:w="0" w:type="dxa"/>
              <w:right w:w="105" w:type="dxa"/>
            </w:tcMar>
            <w:vAlign w:val="center"/>
          </w:tcPr>
          <w:p w14:paraId="4BE806F9">
            <w:pPr>
              <w:widowControl/>
              <w:spacing w:before="10" w:line="400" w:lineRule="exact"/>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系统基本正常，出现非致命性、非关键业务错误，但影响用户工作。</w:t>
            </w:r>
          </w:p>
        </w:tc>
        <w:tc>
          <w:tcPr>
            <w:tcW w:w="1521" w:type="dxa"/>
            <w:shd w:val="clear" w:color="auto" w:fill="FFFFFF"/>
            <w:tcMar>
              <w:top w:w="0" w:type="dxa"/>
              <w:left w:w="105" w:type="dxa"/>
              <w:bottom w:w="0" w:type="dxa"/>
              <w:right w:w="105" w:type="dxa"/>
            </w:tcMar>
            <w:vAlign w:val="center"/>
          </w:tcPr>
          <w:p w14:paraId="3F0419E2">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半小时内</w:t>
            </w:r>
          </w:p>
        </w:tc>
        <w:tc>
          <w:tcPr>
            <w:tcW w:w="1805" w:type="dxa"/>
            <w:shd w:val="clear" w:color="auto" w:fill="FFFFFF"/>
            <w:tcMar>
              <w:top w:w="0" w:type="dxa"/>
              <w:left w:w="105" w:type="dxa"/>
              <w:bottom w:w="0" w:type="dxa"/>
              <w:right w:w="105" w:type="dxa"/>
            </w:tcMar>
            <w:vAlign w:val="center"/>
          </w:tcPr>
          <w:p w14:paraId="466D42F9">
            <w:pPr>
              <w:widowControl/>
              <w:spacing w:before="10" w:line="400" w:lineRule="exact"/>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12小时内</w:t>
            </w:r>
          </w:p>
        </w:tc>
      </w:tr>
      <w:tr w14:paraId="5664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3" w:hRule="atLeast"/>
          <w:tblCellSpacing w:w="15" w:type="dxa"/>
        </w:trPr>
        <w:tc>
          <w:tcPr>
            <w:tcW w:w="1451" w:type="dxa"/>
            <w:shd w:val="clear" w:color="auto" w:fill="FFFFFF"/>
            <w:tcMar>
              <w:top w:w="0" w:type="dxa"/>
              <w:left w:w="105" w:type="dxa"/>
              <w:bottom w:w="0" w:type="dxa"/>
              <w:right w:w="105" w:type="dxa"/>
            </w:tcMar>
            <w:vAlign w:val="center"/>
          </w:tcPr>
          <w:p w14:paraId="6DDA5765">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轻微</w:t>
            </w:r>
          </w:p>
        </w:tc>
        <w:tc>
          <w:tcPr>
            <w:tcW w:w="4073" w:type="dxa"/>
            <w:shd w:val="clear" w:color="auto" w:fill="FFFFFF"/>
            <w:tcMar>
              <w:top w:w="0" w:type="dxa"/>
              <w:left w:w="105" w:type="dxa"/>
              <w:bottom w:w="0" w:type="dxa"/>
              <w:right w:w="105" w:type="dxa"/>
            </w:tcMar>
            <w:vAlign w:val="center"/>
          </w:tcPr>
          <w:p w14:paraId="029944EC">
            <w:pPr>
              <w:widowControl/>
              <w:spacing w:before="10" w:line="400" w:lineRule="exact"/>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其他非功能性问题，如用户认为操作不方便、不够友好而要求改进。</w:t>
            </w:r>
          </w:p>
        </w:tc>
        <w:tc>
          <w:tcPr>
            <w:tcW w:w="1521" w:type="dxa"/>
            <w:shd w:val="clear" w:color="auto" w:fill="FFFFFF"/>
            <w:tcMar>
              <w:top w:w="0" w:type="dxa"/>
              <w:left w:w="105" w:type="dxa"/>
              <w:bottom w:w="0" w:type="dxa"/>
              <w:right w:w="105" w:type="dxa"/>
            </w:tcMar>
            <w:vAlign w:val="center"/>
          </w:tcPr>
          <w:p w14:paraId="0D94C8FD">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3个工作日</w:t>
            </w:r>
          </w:p>
        </w:tc>
        <w:tc>
          <w:tcPr>
            <w:tcW w:w="1805" w:type="dxa"/>
            <w:shd w:val="clear" w:color="auto" w:fill="FFFFFF"/>
            <w:tcMar>
              <w:top w:w="0" w:type="dxa"/>
              <w:left w:w="105" w:type="dxa"/>
              <w:bottom w:w="0" w:type="dxa"/>
              <w:right w:w="105" w:type="dxa"/>
            </w:tcMar>
            <w:vAlign w:val="center"/>
          </w:tcPr>
          <w:p w14:paraId="20A0EA36">
            <w:pPr>
              <w:widowControl/>
              <w:spacing w:before="10" w:line="40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5个工作日</w:t>
            </w:r>
          </w:p>
        </w:tc>
      </w:tr>
    </w:tbl>
    <w:p w14:paraId="7F67EE7A">
      <w:pPr>
        <w:spacing w:line="560" w:lineRule="exact"/>
        <w:ind w:firstLine="624"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二、网络安全要求</w:t>
      </w:r>
    </w:p>
    <w:p w14:paraId="73FC9E51">
      <w:pPr>
        <w:pStyle w:val="23"/>
        <w:rPr>
          <w:rFonts w:hint="eastAsia"/>
          <w:highlight w:val="none"/>
        </w:rPr>
      </w:pPr>
      <w:r>
        <w:rPr>
          <w:rFonts w:hint="eastAsia"/>
          <w:highlight w:val="none"/>
        </w:rPr>
        <w:t>严格遵循国家信息安全三级保护的要求，对平台的安全防护措施进行持续的升级和加固，及时修补潜在漏洞，增强对各类网络攻击和安全威胁的抵御能力，确保数据和信息安全。</w:t>
      </w:r>
    </w:p>
    <w:p w14:paraId="00F07731">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投标人应严格遵守《中华人民共和国网络安全法》、《中华人民共和国数据安全法》、《中华人民共和国个人信息保护法》、《关键信息基础设施安全保护条例》、《中华人民共和国计算机信息系统安全保护条例》和《信息安全等级保护管理办法》及有关法律、法规和行政规章制度、文件规定。</w:t>
      </w:r>
    </w:p>
    <w:p w14:paraId="04AF76C2">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2.投标人在本项目服务期间严格遵守福建省水利厅网络安全有关规定的各项要求，遵循诚实守信原则，开展相关工作。</w:t>
      </w:r>
    </w:p>
    <w:p w14:paraId="5FE39EA6">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3.投标人在本项目服务期间不利用无纸化会议系统模块相关资产、信息危害国家安全、泄露国家秘密、不侵犯国家的、社会的、集体的利益和第三方的合法权益，不从事违法犯罪活动。</w:t>
      </w:r>
    </w:p>
    <w:p w14:paraId="1835A763">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4.投标人承诺会议系统模块每年纳入福建省一体化协同办公平台和闽政通办公APP等保测评范围，并通过年度等保测评。</w:t>
      </w:r>
    </w:p>
    <w:p w14:paraId="12A2CE55">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投标人做好该会议系统模块日常网络安全监测、定期安全漏洞扫描、定期补丁修复、数据安全保护、重要敏感数据加密存储和传输，并完善日常安全防护工作台账登记，每季度将相关安全运维记录提交采购人存档备案。</w:t>
      </w:r>
    </w:p>
    <w:p w14:paraId="373C1DAF">
      <w:pPr>
        <w:pStyle w:val="2"/>
        <w:spacing w:line="560" w:lineRule="exact"/>
        <w:ind w:firstLine="624"/>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6.投标人自觉接受采购人的监督和管理，采购人有权定期指派网络安全服务商对无纸化会议模块开展安全检查，对发现的安全隐患采购人应组织技术力量在10个工作日内进行修复并提交漏洞修复报告，确保采购人系统使用和数据安全。</w:t>
      </w:r>
    </w:p>
    <w:p w14:paraId="5875824E">
      <w:pPr>
        <w:pStyle w:val="2"/>
        <w:spacing w:line="560" w:lineRule="exact"/>
        <w:ind w:firstLine="624"/>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7.本项目所提供的软件应保证正版化要求，所有关于软件正版化纠纷与责任由供应商承担。</w:t>
      </w:r>
    </w:p>
    <w:p w14:paraId="50F4391F">
      <w:pPr>
        <w:spacing w:line="560" w:lineRule="exact"/>
        <w:ind w:firstLine="624"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三、保密要求</w:t>
      </w:r>
    </w:p>
    <w:p w14:paraId="5F7DFA08">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协议中所涉及的保密信息为所有采购人提供的信息资料，以及为采购人提供技术服务过程中知悉的各类信息，包括但不限于如下信息：采购人通讯录、人员信息、办公文件、会议材料、技术信息、工作信息等。</w:t>
      </w:r>
    </w:p>
    <w:p w14:paraId="29B3C423">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2.投标人要遵守国家保密法及有关规定。</w:t>
      </w:r>
    </w:p>
    <w:p w14:paraId="2B549EC3">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3.投标人应采取周密的措施对所有来自采购人的信息严格保密，包括执行有效的安全措施和操作规程。</w:t>
      </w:r>
    </w:p>
    <w:p w14:paraId="30850F3D">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4.投标人应负责做好技术服务人员的教育、管理工作：建立健全的工作制度，加强对技术服务人员的管理。投标人不可把秘密泄露给第三方，如因履行本项目需第三方工作人员接触相关信息，应取得采购人同意。</w:t>
      </w:r>
    </w:p>
    <w:p w14:paraId="40A407A4">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5.保密义务自本项目合同生效之日起，保密期限将不受本项目合同期限限制，合同终止或解除之后仍需永久履行。</w:t>
      </w:r>
    </w:p>
    <w:p w14:paraId="7ECACCCF">
      <w:pPr>
        <w:pStyle w:val="20"/>
        <w:spacing w:line="560" w:lineRule="exact"/>
        <w:ind w:firstLine="624"/>
        <w:rPr>
          <w:rFonts w:hint="eastAsia"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t>四、运维团队要求</w:t>
      </w:r>
    </w:p>
    <w:p w14:paraId="632C87CE">
      <w:pPr>
        <w:pStyle w:val="20"/>
        <w:spacing w:line="560" w:lineRule="exact"/>
        <w:ind w:firstLine="624"/>
        <w:jc w:val="left"/>
        <w:rPr>
          <w:rFonts w:hint="eastAsia" w:ascii="仿宋_GB2312" w:hAnsi="仿宋_GB2312" w:eastAsia="仿宋_GB2312" w:cs="仿宋_GB2312"/>
          <w:color w:val="333333"/>
          <w:kern w:val="2"/>
          <w:sz w:val="32"/>
          <w:szCs w:val="32"/>
          <w:highlight w:val="none"/>
        </w:rPr>
      </w:pPr>
      <w:r>
        <w:rPr>
          <w:rFonts w:hint="eastAsia" w:ascii="仿宋_GB2312" w:hAnsi="仿宋_GB2312" w:eastAsia="仿宋_GB2312" w:cs="仿宋_GB2312"/>
          <w:sz w:val="32"/>
          <w:szCs w:val="32"/>
          <w:highlight w:val="none"/>
        </w:rPr>
        <w:t>为确保运维服务的专业性和高效性，</w:t>
      </w:r>
      <w:r>
        <w:rPr>
          <w:rFonts w:hint="eastAsia" w:ascii="仿宋_GB2312" w:hAnsi="仿宋_GB2312" w:eastAsia="仿宋_GB2312" w:cs="仿宋_GB2312"/>
          <w:sz w:val="32"/>
          <w:szCs w:val="32"/>
          <w:highlight w:val="none"/>
          <w:lang w:eastAsia="zh-CN"/>
        </w:rPr>
        <w:t>供应方</w:t>
      </w:r>
      <w:r>
        <w:rPr>
          <w:rFonts w:hint="eastAsia" w:ascii="仿宋_GB2312" w:hAnsi="仿宋_GB2312" w:eastAsia="仿宋_GB2312" w:cs="仿宋_GB2312"/>
          <w:sz w:val="32"/>
          <w:szCs w:val="32"/>
          <w:highlight w:val="none"/>
        </w:rPr>
        <w:t>须提供一支由1名项目经理、2名一二线运维人员组成的专业团队来承担</w:t>
      </w:r>
      <w:r>
        <w:rPr>
          <w:rFonts w:hint="eastAsia" w:ascii="仿宋_GB2312" w:hAnsi="仿宋_GB2312" w:eastAsia="仿宋_GB2312" w:cs="仿宋_GB2312"/>
          <w:sz w:val="32"/>
          <w:szCs w:val="32"/>
          <w:highlight w:val="none"/>
          <w:lang w:eastAsia="zh-CN"/>
        </w:rPr>
        <w:t>本项目</w:t>
      </w:r>
      <w:r>
        <w:rPr>
          <w:rFonts w:hint="eastAsia" w:ascii="仿宋_GB2312" w:hAnsi="仿宋_GB2312" w:eastAsia="仿宋_GB2312" w:cs="仿宋_GB2312"/>
          <w:color w:val="333333"/>
          <w:kern w:val="2"/>
          <w:sz w:val="32"/>
          <w:szCs w:val="32"/>
          <w:highlight w:val="none"/>
        </w:rPr>
        <w:t>运维工作</w:t>
      </w:r>
      <w:r>
        <w:rPr>
          <w:rFonts w:hint="eastAsia" w:ascii="仿宋_GB2312" w:hAnsi="仿宋_GB2312" w:eastAsia="仿宋_GB2312" w:cs="仿宋_GB2312"/>
          <w:kern w:val="2"/>
          <w:sz w:val="32"/>
          <w:szCs w:val="32"/>
          <w:highlight w:val="none"/>
          <w:lang w:eastAsia="zh-CN"/>
        </w:rPr>
        <w:t>。</w:t>
      </w:r>
    </w:p>
    <w:p w14:paraId="7C41076E">
      <w:pPr>
        <w:pStyle w:val="20"/>
        <w:spacing w:line="560" w:lineRule="exact"/>
        <w:ind w:firstLine="624"/>
        <w:rPr>
          <w:rFonts w:hint="eastAsia"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t>五、运维工作考核</w:t>
      </w:r>
    </w:p>
    <w:p w14:paraId="278CCA2B">
      <w:pPr>
        <w:spacing w:line="560" w:lineRule="exact"/>
        <w:ind w:firstLine="624"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考核办法满分为100分，由采购人结合工作实际，给予年度评定技术服务考核。该分数将作为合同款支付的依据。考核分数90-100分（含90分），支付100%合同款；考核分数80-89分（含80分），支付85%合同款；考核分数70-79分（含70分），支付70%合同款；考核分数低于70分的视为验收不合格，乙方赔付甲方30%合同款的违约金。具体事项及不详尽之处以最终签订的政府采购合同约定为准。</w:t>
      </w:r>
    </w:p>
    <w:p w14:paraId="35AB6ABC">
      <w:pPr>
        <w:pStyle w:val="15"/>
        <w:spacing w:line="560" w:lineRule="exact"/>
        <w:ind w:left="0" w:leftChars="0" w:firstLine="0"/>
        <w:jc w:val="center"/>
        <w:rPr>
          <w:rFonts w:hint="eastAsia"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t>运维工作考核表</w:t>
      </w:r>
    </w:p>
    <w:tbl>
      <w:tblPr>
        <w:tblStyle w:val="16"/>
        <w:tblW w:w="931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4"/>
        <w:gridCol w:w="1079"/>
        <w:gridCol w:w="699"/>
        <w:gridCol w:w="1922"/>
        <w:gridCol w:w="2986"/>
        <w:gridCol w:w="765"/>
        <w:gridCol w:w="932"/>
      </w:tblGrid>
      <w:tr w14:paraId="6862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blCellSpacing w:w="15" w:type="dxa"/>
          <w:jc w:val="center"/>
        </w:trPr>
        <w:tc>
          <w:tcPr>
            <w:tcW w:w="889" w:type="dxa"/>
            <w:tcBorders>
              <w:tl2br w:val="nil"/>
              <w:tr2bl w:val="nil"/>
            </w:tcBorders>
            <w:vAlign w:val="center"/>
          </w:tcPr>
          <w:p w14:paraId="17E4C09B">
            <w:pPr>
              <w:pStyle w:val="14"/>
              <w:widowControl/>
              <w:spacing w:beforeAutospacing="0" w:afterAutospacing="0" w:line="400" w:lineRule="exact"/>
              <w:jc w:val="center"/>
              <w:textAlignment w:val="center"/>
              <w:rPr>
                <w:rFonts w:hint="eastAsia" w:ascii="黑体" w:hAnsi="黑体" w:eastAsia="黑体" w:cs="黑体"/>
                <w:bCs/>
                <w:sz w:val="28"/>
                <w:szCs w:val="28"/>
                <w:highlight w:val="none"/>
              </w:rPr>
            </w:pPr>
            <w:r>
              <w:rPr>
                <w:rStyle w:val="19"/>
                <w:rFonts w:hint="eastAsia" w:ascii="黑体" w:hAnsi="黑体" w:eastAsia="黑体" w:cs="黑体"/>
                <w:b w:val="0"/>
                <w:bCs/>
                <w:sz w:val="28"/>
                <w:szCs w:val="28"/>
                <w:highlight w:val="none"/>
              </w:rPr>
              <w:t>序号</w:t>
            </w:r>
          </w:p>
        </w:tc>
        <w:tc>
          <w:tcPr>
            <w:tcW w:w="1049" w:type="dxa"/>
            <w:tcBorders>
              <w:tl2br w:val="nil"/>
              <w:tr2bl w:val="nil"/>
            </w:tcBorders>
            <w:vAlign w:val="center"/>
          </w:tcPr>
          <w:p w14:paraId="784D89D1">
            <w:pPr>
              <w:pStyle w:val="14"/>
              <w:widowControl/>
              <w:spacing w:beforeAutospacing="0" w:afterAutospacing="0" w:line="400" w:lineRule="exact"/>
              <w:jc w:val="center"/>
              <w:textAlignment w:val="center"/>
              <w:rPr>
                <w:rStyle w:val="19"/>
                <w:rFonts w:hint="eastAsia" w:ascii="黑体" w:hAnsi="黑体" w:eastAsia="黑体" w:cs="黑体"/>
                <w:b w:val="0"/>
                <w:bCs/>
                <w:sz w:val="28"/>
                <w:szCs w:val="28"/>
                <w:highlight w:val="none"/>
              </w:rPr>
            </w:pPr>
            <w:r>
              <w:rPr>
                <w:rStyle w:val="19"/>
                <w:rFonts w:hint="eastAsia" w:ascii="黑体" w:hAnsi="黑体" w:eastAsia="黑体" w:cs="黑体"/>
                <w:b w:val="0"/>
                <w:bCs/>
                <w:sz w:val="28"/>
                <w:szCs w:val="28"/>
                <w:highlight w:val="none"/>
              </w:rPr>
              <w:t>指标</w:t>
            </w:r>
          </w:p>
          <w:p w14:paraId="03258261">
            <w:pPr>
              <w:pStyle w:val="14"/>
              <w:widowControl/>
              <w:spacing w:beforeAutospacing="0" w:afterAutospacing="0" w:line="400" w:lineRule="exact"/>
              <w:jc w:val="center"/>
              <w:textAlignment w:val="center"/>
              <w:rPr>
                <w:rFonts w:hint="eastAsia" w:ascii="黑体" w:hAnsi="黑体" w:eastAsia="黑体" w:cs="黑体"/>
                <w:bCs/>
                <w:sz w:val="28"/>
                <w:szCs w:val="28"/>
                <w:highlight w:val="none"/>
              </w:rPr>
            </w:pPr>
            <w:r>
              <w:rPr>
                <w:rStyle w:val="19"/>
                <w:rFonts w:hint="eastAsia" w:ascii="黑体" w:hAnsi="黑体" w:eastAsia="黑体" w:cs="黑体"/>
                <w:b w:val="0"/>
                <w:bCs/>
                <w:sz w:val="28"/>
                <w:szCs w:val="28"/>
                <w:highlight w:val="none"/>
              </w:rPr>
              <w:t>名称</w:t>
            </w:r>
          </w:p>
        </w:tc>
        <w:tc>
          <w:tcPr>
            <w:tcW w:w="669" w:type="dxa"/>
            <w:tcBorders>
              <w:tl2br w:val="nil"/>
              <w:tr2bl w:val="nil"/>
            </w:tcBorders>
            <w:vAlign w:val="center"/>
          </w:tcPr>
          <w:p w14:paraId="1709E947">
            <w:pPr>
              <w:pStyle w:val="14"/>
              <w:widowControl/>
              <w:spacing w:beforeAutospacing="0" w:afterAutospacing="0" w:line="400" w:lineRule="exact"/>
              <w:jc w:val="center"/>
              <w:textAlignment w:val="center"/>
              <w:rPr>
                <w:rFonts w:hint="eastAsia" w:ascii="黑体" w:hAnsi="黑体" w:eastAsia="黑体" w:cs="黑体"/>
                <w:bCs/>
                <w:sz w:val="28"/>
                <w:szCs w:val="28"/>
                <w:highlight w:val="none"/>
              </w:rPr>
            </w:pPr>
            <w:r>
              <w:rPr>
                <w:rStyle w:val="19"/>
                <w:rFonts w:hint="eastAsia" w:ascii="黑体" w:hAnsi="黑体" w:eastAsia="黑体" w:cs="黑体"/>
                <w:b w:val="0"/>
                <w:bCs/>
                <w:sz w:val="28"/>
                <w:szCs w:val="28"/>
                <w:highlight w:val="none"/>
              </w:rPr>
              <w:t>分值</w:t>
            </w:r>
          </w:p>
        </w:tc>
        <w:tc>
          <w:tcPr>
            <w:tcW w:w="4878" w:type="dxa"/>
            <w:gridSpan w:val="2"/>
            <w:tcBorders>
              <w:tl2br w:val="nil"/>
              <w:tr2bl w:val="nil"/>
            </w:tcBorders>
            <w:vAlign w:val="center"/>
          </w:tcPr>
          <w:p w14:paraId="2A214E8C">
            <w:pPr>
              <w:pStyle w:val="14"/>
              <w:widowControl/>
              <w:spacing w:beforeAutospacing="0" w:afterAutospacing="0" w:line="400" w:lineRule="exact"/>
              <w:jc w:val="center"/>
              <w:textAlignment w:val="center"/>
              <w:rPr>
                <w:rFonts w:hint="eastAsia" w:ascii="黑体" w:hAnsi="黑体" w:eastAsia="黑体" w:cs="黑体"/>
                <w:bCs/>
                <w:sz w:val="28"/>
                <w:szCs w:val="28"/>
                <w:highlight w:val="none"/>
              </w:rPr>
            </w:pPr>
            <w:r>
              <w:rPr>
                <w:rStyle w:val="19"/>
                <w:rFonts w:hint="eastAsia" w:ascii="黑体" w:hAnsi="黑体" w:eastAsia="黑体" w:cs="黑体"/>
                <w:b w:val="0"/>
                <w:bCs/>
                <w:sz w:val="28"/>
                <w:szCs w:val="28"/>
                <w:highlight w:val="none"/>
              </w:rPr>
              <w:t>考核内容及标准</w:t>
            </w:r>
          </w:p>
        </w:tc>
        <w:tc>
          <w:tcPr>
            <w:tcW w:w="735" w:type="dxa"/>
            <w:tcBorders>
              <w:tl2br w:val="nil"/>
              <w:tr2bl w:val="nil"/>
            </w:tcBorders>
            <w:vAlign w:val="center"/>
          </w:tcPr>
          <w:p w14:paraId="46D642D4">
            <w:pPr>
              <w:pStyle w:val="14"/>
              <w:widowControl/>
              <w:spacing w:beforeAutospacing="0" w:afterAutospacing="0" w:line="400" w:lineRule="exact"/>
              <w:jc w:val="center"/>
              <w:textAlignment w:val="center"/>
              <w:rPr>
                <w:rFonts w:hint="eastAsia" w:ascii="黑体" w:hAnsi="黑体" w:eastAsia="黑体" w:cs="黑体"/>
                <w:bCs/>
                <w:sz w:val="28"/>
                <w:szCs w:val="28"/>
                <w:highlight w:val="none"/>
              </w:rPr>
            </w:pPr>
            <w:r>
              <w:rPr>
                <w:rStyle w:val="19"/>
                <w:rFonts w:hint="eastAsia" w:ascii="黑体" w:hAnsi="黑体" w:eastAsia="黑体" w:cs="黑体"/>
                <w:b w:val="0"/>
                <w:bCs/>
                <w:sz w:val="28"/>
                <w:szCs w:val="28"/>
                <w:highlight w:val="none"/>
              </w:rPr>
              <w:t>评分</w:t>
            </w:r>
          </w:p>
        </w:tc>
        <w:tc>
          <w:tcPr>
            <w:tcW w:w="887" w:type="dxa"/>
            <w:tcBorders>
              <w:tl2br w:val="nil"/>
              <w:tr2bl w:val="nil"/>
            </w:tcBorders>
            <w:vAlign w:val="center"/>
          </w:tcPr>
          <w:p w14:paraId="01BBCA58">
            <w:pPr>
              <w:pStyle w:val="14"/>
              <w:widowControl/>
              <w:spacing w:beforeAutospacing="0" w:afterAutospacing="0" w:line="400" w:lineRule="exact"/>
              <w:jc w:val="center"/>
              <w:textAlignment w:val="center"/>
              <w:rPr>
                <w:rFonts w:hint="eastAsia" w:ascii="黑体" w:hAnsi="黑体" w:eastAsia="黑体" w:cs="黑体"/>
                <w:bCs/>
                <w:sz w:val="28"/>
                <w:szCs w:val="28"/>
                <w:highlight w:val="none"/>
              </w:rPr>
            </w:pPr>
            <w:r>
              <w:rPr>
                <w:rStyle w:val="19"/>
                <w:rFonts w:hint="eastAsia" w:ascii="黑体" w:hAnsi="黑体" w:eastAsia="黑体" w:cs="黑体"/>
                <w:b w:val="0"/>
                <w:bCs/>
                <w:sz w:val="28"/>
                <w:szCs w:val="28"/>
                <w:highlight w:val="none"/>
              </w:rPr>
              <w:t>备注</w:t>
            </w:r>
          </w:p>
        </w:tc>
      </w:tr>
      <w:tr w14:paraId="22C8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CellSpacing w:w="15" w:type="dxa"/>
          <w:jc w:val="center"/>
        </w:trPr>
        <w:tc>
          <w:tcPr>
            <w:tcW w:w="889" w:type="dxa"/>
            <w:tcBorders>
              <w:tl2br w:val="nil"/>
              <w:tr2bl w:val="nil"/>
            </w:tcBorders>
            <w:vAlign w:val="center"/>
          </w:tcPr>
          <w:p w14:paraId="7835E3B2">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049" w:type="dxa"/>
            <w:tcBorders>
              <w:tl2br w:val="nil"/>
              <w:tr2bl w:val="nil"/>
            </w:tcBorders>
            <w:vAlign w:val="center"/>
          </w:tcPr>
          <w:p w14:paraId="1E3816F7">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日常</w:t>
            </w:r>
          </w:p>
          <w:p w14:paraId="14C4A058">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巡检</w:t>
            </w:r>
          </w:p>
        </w:tc>
        <w:tc>
          <w:tcPr>
            <w:tcW w:w="669" w:type="dxa"/>
            <w:tcBorders>
              <w:tl2br w:val="nil"/>
              <w:tr2bl w:val="nil"/>
            </w:tcBorders>
            <w:vAlign w:val="center"/>
          </w:tcPr>
          <w:p w14:paraId="5FEDE0A4">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w:t>
            </w:r>
          </w:p>
        </w:tc>
        <w:tc>
          <w:tcPr>
            <w:tcW w:w="4878" w:type="dxa"/>
            <w:gridSpan w:val="2"/>
            <w:tcBorders>
              <w:tl2br w:val="nil"/>
              <w:tr2bl w:val="nil"/>
            </w:tcBorders>
            <w:vAlign w:val="center"/>
          </w:tcPr>
          <w:p w14:paraId="77E9DAFF">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无纸化会议系统软硬件及配套设施巡检情况评价，巡检不及时，或未按合同规定履行巡检义务的，每次扣2分，扣完为止。</w:t>
            </w:r>
          </w:p>
        </w:tc>
        <w:tc>
          <w:tcPr>
            <w:tcW w:w="735" w:type="dxa"/>
            <w:tcBorders>
              <w:tl2br w:val="nil"/>
              <w:tr2bl w:val="nil"/>
            </w:tcBorders>
            <w:vAlign w:val="center"/>
          </w:tcPr>
          <w:p w14:paraId="08FA4B26">
            <w:pPr>
              <w:widowControl/>
              <w:spacing w:line="400" w:lineRule="exact"/>
              <w:jc w:val="left"/>
              <w:rPr>
                <w:rFonts w:hint="eastAsia" w:ascii="仿宋_GB2312" w:hAnsi="仿宋_GB2312" w:eastAsia="仿宋_GB2312" w:cs="仿宋_GB2312"/>
                <w:sz w:val="28"/>
                <w:szCs w:val="28"/>
                <w:highlight w:val="none"/>
              </w:rPr>
            </w:pPr>
          </w:p>
        </w:tc>
        <w:tc>
          <w:tcPr>
            <w:tcW w:w="887" w:type="dxa"/>
            <w:vMerge w:val="restart"/>
            <w:tcBorders>
              <w:tl2br w:val="nil"/>
              <w:tr2bl w:val="nil"/>
            </w:tcBorders>
            <w:vAlign w:val="center"/>
          </w:tcPr>
          <w:p w14:paraId="715AD435">
            <w:pPr>
              <w:pStyle w:val="14"/>
              <w:spacing w:line="400" w:lineRule="exact"/>
              <w:jc w:val="center"/>
              <w:textAlignment w:val="center"/>
              <w:rPr>
                <w:rFonts w:hint="eastAsia" w:ascii="仿宋_GB2312" w:hAnsi="仿宋_GB2312" w:eastAsia="仿宋_GB2312" w:cs="仿宋_GB2312"/>
                <w:sz w:val="28"/>
                <w:szCs w:val="28"/>
                <w:highlight w:val="none"/>
              </w:rPr>
            </w:pPr>
          </w:p>
        </w:tc>
      </w:tr>
      <w:tr w14:paraId="5F99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CellSpacing w:w="15" w:type="dxa"/>
          <w:jc w:val="center"/>
        </w:trPr>
        <w:tc>
          <w:tcPr>
            <w:tcW w:w="889" w:type="dxa"/>
            <w:tcBorders>
              <w:tl2br w:val="nil"/>
              <w:tr2bl w:val="nil"/>
            </w:tcBorders>
            <w:vAlign w:val="center"/>
          </w:tcPr>
          <w:p w14:paraId="1715C849">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1049" w:type="dxa"/>
            <w:tcBorders>
              <w:tl2br w:val="nil"/>
              <w:tr2bl w:val="nil"/>
            </w:tcBorders>
            <w:vAlign w:val="center"/>
          </w:tcPr>
          <w:p w14:paraId="11E2A0F9">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二线技术支持</w:t>
            </w:r>
          </w:p>
        </w:tc>
        <w:tc>
          <w:tcPr>
            <w:tcW w:w="669" w:type="dxa"/>
            <w:tcBorders>
              <w:tl2br w:val="nil"/>
              <w:tr2bl w:val="nil"/>
            </w:tcBorders>
            <w:vAlign w:val="center"/>
          </w:tcPr>
          <w:p w14:paraId="5971B264">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4878" w:type="dxa"/>
            <w:gridSpan w:val="2"/>
            <w:tcBorders>
              <w:tl2br w:val="nil"/>
              <w:tr2bl w:val="nil"/>
            </w:tcBorders>
            <w:vAlign w:val="center"/>
          </w:tcPr>
          <w:p w14:paraId="6A1C7403">
            <w:pPr>
              <w:spacing w:line="380" w:lineRule="exact"/>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二线技术支持情况评价。未按时响应甲方二线技术支持需求，单次需求3次联系无人应答的，每次扣1分，扣完为止。</w:t>
            </w:r>
          </w:p>
        </w:tc>
        <w:tc>
          <w:tcPr>
            <w:tcW w:w="735" w:type="dxa"/>
            <w:tcBorders>
              <w:tl2br w:val="nil"/>
              <w:tr2bl w:val="nil"/>
            </w:tcBorders>
            <w:vAlign w:val="center"/>
          </w:tcPr>
          <w:p w14:paraId="6E3CDB02">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10D13E4C">
            <w:pPr>
              <w:pStyle w:val="14"/>
              <w:spacing w:line="400" w:lineRule="exact"/>
              <w:jc w:val="center"/>
              <w:textAlignment w:val="center"/>
              <w:rPr>
                <w:rFonts w:hint="eastAsia" w:ascii="仿宋_GB2312" w:hAnsi="仿宋_GB2312" w:eastAsia="仿宋_GB2312" w:cs="仿宋_GB2312"/>
                <w:sz w:val="28"/>
                <w:szCs w:val="28"/>
                <w:highlight w:val="none"/>
              </w:rPr>
            </w:pPr>
          </w:p>
        </w:tc>
      </w:tr>
      <w:tr w14:paraId="78B4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CellSpacing w:w="15" w:type="dxa"/>
          <w:jc w:val="center"/>
        </w:trPr>
        <w:tc>
          <w:tcPr>
            <w:tcW w:w="889" w:type="dxa"/>
            <w:vMerge w:val="restart"/>
            <w:tcBorders>
              <w:tl2br w:val="nil"/>
              <w:tr2bl w:val="nil"/>
            </w:tcBorders>
            <w:vAlign w:val="center"/>
          </w:tcPr>
          <w:p w14:paraId="38E1E6C6">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1049" w:type="dxa"/>
            <w:vMerge w:val="restart"/>
            <w:tcBorders>
              <w:tl2br w:val="nil"/>
              <w:tr2bl w:val="nil"/>
            </w:tcBorders>
            <w:vAlign w:val="center"/>
          </w:tcPr>
          <w:p w14:paraId="11EC9D1F">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会议</w:t>
            </w:r>
          </w:p>
          <w:p w14:paraId="1B0A8559">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保障</w:t>
            </w:r>
          </w:p>
        </w:tc>
        <w:tc>
          <w:tcPr>
            <w:tcW w:w="669" w:type="dxa"/>
            <w:vMerge w:val="restart"/>
            <w:tcBorders>
              <w:tl2br w:val="nil"/>
              <w:tr2bl w:val="nil"/>
            </w:tcBorders>
            <w:vAlign w:val="center"/>
          </w:tcPr>
          <w:p w14:paraId="5D87987D">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w:t>
            </w:r>
          </w:p>
        </w:tc>
        <w:tc>
          <w:tcPr>
            <w:tcW w:w="4878" w:type="dxa"/>
            <w:gridSpan w:val="2"/>
            <w:tcBorders>
              <w:tl2br w:val="nil"/>
              <w:tr2bl w:val="nil"/>
            </w:tcBorders>
            <w:vAlign w:val="center"/>
          </w:tcPr>
          <w:p w14:paraId="3448E90E">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会前准备情况评价。保障人员应于会前做好每台终端设备及会议系统的调试工作。参会设备和会议系统故障未在会前发现并处置，每次扣1分，扣完为止。（满分10分）</w:t>
            </w:r>
          </w:p>
        </w:tc>
        <w:tc>
          <w:tcPr>
            <w:tcW w:w="735" w:type="dxa"/>
            <w:tcBorders>
              <w:tl2br w:val="nil"/>
              <w:tr2bl w:val="nil"/>
            </w:tcBorders>
            <w:vAlign w:val="center"/>
          </w:tcPr>
          <w:p w14:paraId="4230A4D0">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13BD5C87">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p>
        </w:tc>
      </w:tr>
      <w:tr w14:paraId="55C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blCellSpacing w:w="15" w:type="dxa"/>
          <w:jc w:val="center"/>
        </w:trPr>
        <w:tc>
          <w:tcPr>
            <w:tcW w:w="889" w:type="dxa"/>
            <w:vMerge w:val="continue"/>
            <w:tcBorders>
              <w:tl2br w:val="nil"/>
              <w:tr2bl w:val="nil"/>
            </w:tcBorders>
            <w:vAlign w:val="center"/>
          </w:tcPr>
          <w:p w14:paraId="06758A4D">
            <w:pPr>
              <w:spacing w:line="400" w:lineRule="exact"/>
              <w:jc w:val="center"/>
              <w:rPr>
                <w:rFonts w:hint="eastAsia" w:ascii="仿宋_GB2312" w:hAnsi="仿宋_GB2312" w:eastAsia="仿宋_GB2312" w:cs="仿宋_GB2312"/>
                <w:sz w:val="28"/>
                <w:szCs w:val="28"/>
                <w:highlight w:val="none"/>
              </w:rPr>
            </w:pPr>
          </w:p>
        </w:tc>
        <w:tc>
          <w:tcPr>
            <w:tcW w:w="1049" w:type="dxa"/>
            <w:vMerge w:val="continue"/>
            <w:tcBorders>
              <w:tl2br w:val="nil"/>
              <w:tr2bl w:val="nil"/>
            </w:tcBorders>
            <w:vAlign w:val="center"/>
          </w:tcPr>
          <w:p w14:paraId="6A77828E">
            <w:pPr>
              <w:spacing w:line="400" w:lineRule="exact"/>
              <w:jc w:val="center"/>
              <w:rPr>
                <w:rFonts w:hint="eastAsia" w:ascii="仿宋_GB2312" w:hAnsi="仿宋_GB2312" w:eastAsia="仿宋_GB2312" w:cs="仿宋_GB2312"/>
                <w:sz w:val="28"/>
                <w:szCs w:val="28"/>
                <w:highlight w:val="none"/>
              </w:rPr>
            </w:pPr>
          </w:p>
        </w:tc>
        <w:tc>
          <w:tcPr>
            <w:tcW w:w="669" w:type="dxa"/>
            <w:vMerge w:val="continue"/>
            <w:tcBorders>
              <w:tl2br w:val="nil"/>
              <w:tr2bl w:val="nil"/>
            </w:tcBorders>
            <w:vAlign w:val="center"/>
          </w:tcPr>
          <w:p w14:paraId="0BDD1466">
            <w:pPr>
              <w:spacing w:line="400" w:lineRule="exact"/>
              <w:jc w:val="center"/>
              <w:rPr>
                <w:rFonts w:hint="eastAsia" w:ascii="仿宋_GB2312" w:hAnsi="仿宋_GB2312" w:eastAsia="仿宋_GB2312" w:cs="仿宋_GB2312"/>
                <w:sz w:val="28"/>
                <w:szCs w:val="28"/>
                <w:highlight w:val="none"/>
              </w:rPr>
            </w:pPr>
          </w:p>
        </w:tc>
        <w:tc>
          <w:tcPr>
            <w:tcW w:w="4878" w:type="dxa"/>
            <w:gridSpan w:val="2"/>
            <w:tcBorders>
              <w:tl2br w:val="nil"/>
              <w:tr2bl w:val="nil"/>
            </w:tcBorders>
            <w:vAlign w:val="center"/>
          </w:tcPr>
          <w:p w14:paraId="0624CA4D">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会中保障情况评价。会中保障技术人员无故缺席，未履行保障任务的，每次扣2分，扣完为止。（满分10分）</w:t>
            </w:r>
          </w:p>
        </w:tc>
        <w:tc>
          <w:tcPr>
            <w:tcW w:w="735" w:type="dxa"/>
            <w:tcBorders>
              <w:tl2br w:val="nil"/>
              <w:tr2bl w:val="nil"/>
            </w:tcBorders>
            <w:vAlign w:val="center"/>
          </w:tcPr>
          <w:p w14:paraId="1F61809A">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29C8CEDB">
            <w:pPr>
              <w:spacing w:line="400" w:lineRule="exact"/>
              <w:rPr>
                <w:rFonts w:hint="eastAsia" w:ascii="仿宋_GB2312" w:hAnsi="仿宋_GB2312" w:eastAsia="仿宋_GB2312" w:cs="仿宋_GB2312"/>
                <w:sz w:val="28"/>
                <w:szCs w:val="28"/>
                <w:highlight w:val="none"/>
              </w:rPr>
            </w:pPr>
          </w:p>
        </w:tc>
      </w:tr>
      <w:tr w14:paraId="1A93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tblCellSpacing w:w="15" w:type="dxa"/>
          <w:jc w:val="center"/>
        </w:trPr>
        <w:tc>
          <w:tcPr>
            <w:tcW w:w="889" w:type="dxa"/>
            <w:vMerge w:val="continue"/>
            <w:tcBorders>
              <w:tl2br w:val="nil"/>
              <w:tr2bl w:val="nil"/>
            </w:tcBorders>
            <w:vAlign w:val="center"/>
          </w:tcPr>
          <w:p w14:paraId="0FB7D56F">
            <w:pPr>
              <w:spacing w:line="400" w:lineRule="exact"/>
              <w:jc w:val="center"/>
              <w:rPr>
                <w:rFonts w:hint="eastAsia" w:ascii="仿宋_GB2312" w:hAnsi="仿宋_GB2312" w:eastAsia="仿宋_GB2312" w:cs="仿宋_GB2312"/>
                <w:sz w:val="28"/>
                <w:szCs w:val="28"/>
                <w:highlight w:val="none"/>
              </w:rPr>
            </w:pPr>
          </w:p>
        </w:tc>
        <w:tc>
          <w:tcPr>
            <w:tcW w:w="1049" w:type="dxa"/>
            <w:vMerge w:val="continue"/>
            <w:tcBorders>
              <w:tl2br w:val="nil"/>
              <w:tr2bl w:val="nil"/>
            </w:tcBorders>
            <w:vAlign w:val="center"/>
          </w:tcPr>
          <w:p w14:paraId="33555A0D">
            <w:pPr>
              <w:spacing w:line="400" w:lineRule="exact"/>
              <w:jc w:val="center"/>
              <w:rPr>
                <w:rFonts w:hint="eastAsia" w:ascii="仿宋_GB2312" w:hAnsi="仿宋_GB2312" w:eastAsia="仿宋_GB2312" w:cs="仿宋_GB2312"/>
                <w:sz w:val="28"/>
                <w:szCs w:val="28"/>
                <w:highlight w:val="none"/>
              </w:rPr>
            </w:pPr>
          </w:p>
        </w:tc>
        <w:tc>
          <w:tcPr>
            <w:tcW w:w="669" w:type="dxa"/>
            <w:vMerge w:val="continue"/>
            <w:tcBorders>
              <w:tl2br w:val="nil"/>
              <w:tr2bl w:val="nil"/>
            </w:tcBorders>
            <w:vAlign w:val="center"/>
          </w:tcPr>
          <w:p w14:paraId="57FAF582">
            <w:pPr>
              <w:spacing w:line="400" w:lineRule="exact"/>
              <w:jc w:val="center"/>
              <w:rPr>
                <w:rFonts w:hint="eastAsia" w:ascii="仿宋_GB2312" w:hAnsi="仿宋_GB2312" w:eastAsia="仿宋_GB2312" w:cs="仿宋_GB2312"/>
                <w:sz w:val="28"/>
                <w:szCs w:val="28"/>
                <w:highlight w:val="none"/>
              </w:rPr>
            </w:pPr>
          </w:p>
        </w:tc>
        <w:tc>
          <w:tcPr>
            <w:tcW w:w="4878" w:type="dxa"/>
            <w:gridSpan w:val="2"/>
            <w:tcBorders>
              <w:tl2br w:val="nil"/>
              <w:tr2bl w:val="nil"/>
            </w:tcBorders>
            <w:vAlign w:val="center"/>
          </w:tcPr>
          <w:p w14:paraId="6DB9510F">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会后整理情况评价。保障技术人员须于会后进行设备清点和入库整理工作，未开展相关工作的，每次扣1分，扣完为止。(满分10分）</w:t>
            </w:r>
          </w:p>
        </w:tc>
        <w:tc>
          <w:tcPr>
            <w:tcW w:w="735" w:type="dxa"/>
            <w:tcBorders>
              <w:tl2br w:val="nil"/>
              <w:tr2bl w:val="nil"/>
            </w:tcBorders>
            <w:vAlign w:val="center"/>
          </w:tcPr>
          <w:p w14:paraId="2EB6D40A">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511ADD12">
            <w:pPr>
              <w:spacing w:line="400" w:lineRule="exact"/>
              <w:rPr>
                <w:rFonts w:hint="eastAsia" w:ascii="仿宋_GB2312" w:hAnsi="仿宋_GB2312" w:eastAsia="仿宋_GB2312" w:cs="仿宋_GB2312"/>
                <w:sz w:val="28"/>
                <w:szCs w:val="28"/>
                <w:highlight w:val="none"/>
              </w:rPr>
            </w:pPr>
          </w:p>
        </w:tc>
      </w:tr>
      <w:tr w14:paraId="537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9" w:type="dxa"/>
            <w:tcBorders>
              <w:tl2br w:val="nil"/>
              <w:tr2bl w:val="nil"/>
            </w:tcBorders>
            <w:vAlign w:val="center"/>
          </w:tcPr>
          <w:p w14:paraId="4C6E1FCB">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1049" w:type="dxa"/>
            <w:tcBorders>
              <w:tl2br w:val="nil"/>
              <w:tr2bl w:val="nil"/>
            </w:tcBorders>
            <w:vAlign w:val="center"/>
          </w:tcPr>
          <w:p w14:paraId="7EACD18E">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故障</w:t>
            </w:r>
          </w:p>
          <w:p w14:paraId="7842D65F">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响应</w:t>
            </w:r>
          </w:p>
        </w:tc>
        <w:tc>
          <w:tcPr>
            <w:tcW w:w="669" w:type="dxa"/>
            <w:tcBorders>
              <w:tl2br w:val="nil"/>
              <w:tr2bl w:val="nil"/>
            </w:tcBorders>
            <w:vAlign w:val="center"/>
          </w:tcPr>
          <w:p w14:paraId="7C93FA9F">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w:t>
            </w:r>
          </w:p>
        </w:tc>
        <w:tc>
          <w:tcPr>
            <w:tcW w:w="4878" w:type="dxa"/>
            <w:gridSpan w:val="2"/>
            <w:tcBorders>
              <w:tl2br w:val="nil"/>
              <w:tr2bl w:val="nil"/>
            </w:tcBorders>
            <w:vAlign w:val="center"/>
          </w:tcPr>
          <w:p w14:paraId="357C1614">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故障响应情况评价。每次发生故障响应与解决时间超期，紧急故障扣3分，一般故障扣1分，轻微故障扣0.5分，扣完为止。</w:t>
            </w:r>
          </w:p>
        </w:tc>
        <w:tc>
          <w:tcPr>
            <w:tcW w:w="735" w:type="dxa"/>
            <w:tcBorders>
              <w:tl2br w:val="nil"/>
              <w:tr2bl w:val="nil"/>
            </w:tcBorders>
            <w:vAlign w:val="center"/>
          </w:tcPr>
          <w:p w14:paraId="7AC32081">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72D3787F">
            <w:pPr>
              <w:spacing w:line="400" w:lineRule="exact"/>
              <w:rPr>
                <w:rFonts w:hint="eastAsia" w:ascii="仿宋_GB2312" w:hAnsi="仿宋_GB2312" w:eastAsia="仿宋_GB2312" w:cs="仿宋_GB2312"/>
                <w:sz w:val="28"/>
                <w:szCs w:val="28"/>
                <w:highlight w:val="none"/>
              </w:rPr>
            </w:pPr>
          </w:p>
        </w:tc>
      </w:tr>
      <w:tr w14:paraId="7AD1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9" w:type="dxa"/>
            <w:tcBorders>
              <w:tl2br w:val="nil"/>
              <w:tr2bl w:val="nil"/>
            </w:tcBorders>
            <w:vAlign w:val="center"/>
          </w:tcPr>
          <w:p w14:paraId="46C8852A">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1049" w:type="dxa"/>
            <w:tcBorders>
              <w:tl2br w:val="nil"/>
              <w:tr2bl w:val="nil"/>
            </w:tcBorders>
            <w:vAlign w:val="center"/>
          </w:tcPr>
          <w:p w14:paraId="46C920F3">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硬件</w:t>
            </w:r>
          </w:p>
          <w:p w14:paraId="41C41C02">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维保</w:t>
            </w:r>
          </w:p>
        </w:tc>
        <w:tc>
          <w:tcPr>
            <w:tcW w:w="669" w:type="dxa"/>
            <w:tcBorders>
              <w:tl2br w:val="nil"/>
              <w:tr2bl w:val="nil"/>
            </w:tcBorders>
            <w:vAlign w:val="center"/>
          </w:tcPr>
          <w:p w14:paraId="6A3FED15">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4878" w:type="dxa"/>
            <w:gridSpan w:val="2"/>
            <w:tcBorders>
              <w:tl2br w:val="nil"/>
              <w:tr2bl w:val="nil"/>
            </w:tcBorders>
            <w:vAlign w:val="center"/>
          </w:tcPr>
          <w:p w14:paraId="4788DF22">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驻场硬件设备维保情况评价。硬件损坏未在5个工作日内修复，每次扣1分；硬件丢失未在10个工作日内补齐，每次扣5分，扣完为止。</w:t>
            </w:r>
          </w:p>
        </w:tc>
        <w:tc>
          <w:tcPr>
            <w:tcW w:w="735" w:type="dxa"/>
            <w:tcBorders>
              <w:tl2br w:val="nil"/>
              <w:tr2bl w:val="nil"/>
            </w:tcBorders>
            <w:vAlign w:val="center"/>
          </w:tcPr>
          <w:p w14:paraId="338345A3">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246CE5E2">
            <w:pPr>
              <w:spacing w:line="400" w:lineRule="exact"/>
              <w:rPr>
                <w:rFonts w:hint="eastAsia" w:ascii="仿宋_GB2312" w:hAnsi="仿宋_GB2312" w:eastAsia="仿宋_GB2312" w:cs="仿宋_GB2312"/>
                <w:sz w:val="28"/>
                <w:szCs w:val="28"/>
                <w:highlight w:val="none"/>
              </w:rPr>
            </w:pPr>
          </w:p>
        </w:tc>
      </w:tr>
      <w:tr w14:paraId="42E9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tblCellSpacing w:w="15" w:type="dxa"/>
          <w:jc w:val="center"/>
        </w:trPr>
        <w:tc>
          <w:tcPr>
            <w:tcW w:w="889" w:type="dxa"/>
            <w:tcBorders>
              <w:tl2br w:val="nil"/>
              <w:tr2bl w:val="nil"/>
            </w:tcBorders>
            <w:vAlign w:val="center"/>
          </w:tcPr>
          <w:p w14:paraId="052FC97B">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1049" w:type="dxa"/>
            <w:tcBorders>
              <w:tl2br w:val="nil"/>
              <w:tr2bl w:val="nil"/>
            </w:tcBorders>
            <w:vAlign w:val="center"/>
          </w:tcPr>
          <w:p w14:paraId="668724EE">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网络</w:t>
            </w:r>
          </w:p>
          <w:p w14:paraId="22468E61">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w:t>
            </w:r>
          </w:p>
        </w:tc>
        <w:tc>
          <w:tcPr>
            <w:tcW w:w="669" w:type="dxa"/>
            <w:tcBorders>
              <w:tl2br w:val="nil"/>
              <w:tr2bl w:val="nil"/>
            </w:tcBorders>
            <w:vAlign w:val="center"/>
          </w:tcPr>
          <w:p w14:paraId="58F7C88B">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4878" w:type="dxa"/>
            <w:gridSpan w:val="2"/>
            <w:tcBorders>
              <w:tl2br w:val="nil"/>
              <w:tr2bl w:val="nil"/>
            </w:tcBorders>
            <w:vAlign w:val="center"/>
          </w:tcPr>
          <w:p w14:paraId="55050F24">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网络安全保障情况评价。未配合甲方安全检测或未根据甲方检测结果按时修复相关漏洞的，每次扣2分；未落实安全防护要求，被网络安全主管部门通报的，每次扣5分，扣完为止。</w:t>
            </w:r>
          </w:p>
        </w:tc>
        <w:tc>
          <w:tcPr>
            <w:tcW w:w="735" w:type="dxa"/>
            <w:tcBorders>
              <w:tl2br w:val="nil"/>
              <w:tr2bl w:val="nil"/>
            </w:tcBorders>
            <w:vAlign w:val="center"/>
          </w:tcPr>
          <w:p w14:paraId="7934854C">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03609060">
            <w:pPr>
              <w:spacing w:line="400" w:lineRule="exact"/>
              <w:rPr>
                <w:rFonts w:hint="eastAsia" w:ascii="仿宋_GB2312" w:hAnsi="仿宋_GB2312" w:eastAsia="仿宋_GB2312" w:cs="仿宋_GB2312"/>
                <w:sz w:val="28"/>
                <w:szCs w:val="28"/>
                <w:highlight w:val="none"/>
              </w:rPr>
            </w:pPr>
          </w:p>
        </w:tc>
      </w:tr>
      <w:tr w14:paraId="4D4C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0" w:hRule="atLeast"/>
          <w:tblCellSpacing w:w="15" w:type="dxa"/>
          <w:jc w:val="center"/>
        </w:trPr>
        <w:tc>
          <w:tcPr>
            <w:tcW w:w="889" w:type="dxa"/>
            <w:tcBorders>
              <w:tl2br w:val="nil"/>
              <w:tr2bl w:val="nil"/>
            </w:tcBorders>
            <w:vAlign w:val="center"/>
          </w:tcPr>
          <w:p w14:paraId="2E2E0897">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1049" w:type="dxa"/>
            <w:tcBorders>
              <w:tl2br w:val="nil"/>
              <w:tr2bl w:val="nil"/>
            </w:tcBorders>
            <w:vAlign w:val="center"/>
          </w:tcPr>
          <w:p w14:paraId="55B1C333">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资料</w:t>
            </w:r>
          </w:p>
          <w:p w14:paraId="2DF1247F">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整理</w:t>
            </w:r>
          </w:p>
        </w:tc>
        <w:tc>
          <w:tcPr>
            <w:tcW w:w="669" w:type="dxa"/>
            <w:tcBorders>
              <w:tl2br w:val="nil"/>
              <w:tr2bl w:val="nil"/>
            </w:tcBorders>
            <w:vAlign w:val="center"/>
          </w:tcPr>
          <w:p w14:paraId="4C23F327">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4878" w:type="dxa"/>
            <w:gridSpan w:val="2"/>
            <w:tcBorders>
              <w:tl2br w:val="nil"/>
              <w:tr2bl w:val="nil"/>
            </w:tcBorders>
            <w:vAlign w:val="center"/>
          </w:tcPr>
          <w:p w14:paraId="1023125B">
            <w:pPr>
              <w:pStyle w:val="14"/>
              <w:widowControl/>
              <w:spacing w:beforeAutospacing="0" w:afterAutospacing="0" w:line="400" w:lineRule="exac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服务成果归档资料整理情况评价。未按时提交巡检、故障处置、漏洞修复报告的，材料质量不符合要求的，每次扣1分，扣完为止。</w:t>
            </w:r>
          </w:p>
        </w:tc>
        <w:tc>
          <w:tcPr>
            <w:tcW w:w="735" w:type="dxa"/>
            <w:tcBorders>
              <w:tl2br w:val="nil"/>
              <w:tr2bl w:val="nil"/>
            </w:tcBorders>
            <w:vAlign w:val="center"/>
          </w:tcPr>
          <w:p w14:paraId="0E1CDF7A">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35040592">
            <w:pPr>
              <w:spacing w:line="400" w:lineRule="exact"/>
              <w:rPr>
                <w:rFonts w:hint="eastAsia" w:ascii="仿宋_GB2312" w:hAnsi="仿宋_GB2312" w:eastAsia="仿宋_GB2312" w:cs="仿宋_GB2312"/>
                <w:sz w:val="28"/>
                <w:szCs w:val="28"/>
                <w:highlight w:val="none"/>
              </w:rPr>
            </w:pPr>
          </w:p>
        </w:tc>
      </w:tr>
      <w:tr w14:paraId="6D1A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tblCellSpacing w:w="15" w:type="dxa"/>
          <w:jc w:val="center"/>
        </w:trPr>
        <w:tc>
          <w:tcPr>
            <w:tcW w:w="889" w:type="dxa"/>
            <w:tcBorders>
              <w:tl2br w:val="nil"/>
              <w:tr2bl w:val="nil"/>
            </w:tcBorders>
            <w:vAlign w:val="center"/>
          </w:tcPr>
          <w:p w14:paraId="554BF020">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合计</w:t>
            </w:r>
          </w:p>
        </w:tc>
        <w:tc>
          <w:tcPr>
            <w:tcW w:w="1049" w:type="dxa"/>
            <w:tcBorders>
              <w:tl2br w:val="nil"/>
              <w:tr2bl w:val="nil"/>
            </w:tcBorders>
            <w:vAlign w:val="center"/>
          </w:tcPr>
          <w:p w14:paraId="1587B3EE">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669" w:type="dxa"/>
            <w:tcBorders>
              <w:tl2br w:val="nil"/>
              <w:tr2bl w:val="nil"/>
            </w:tcBorders>
            <w:vAlign w:val="center"/>
          </w:tcPr>
          <w:p w14:paraId="0E03239A">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878" w:type="dxa"/>
            <w:gridSpan w:val="2"/>
            <w:tcBorders>
              <w:tl2br w:val="nil"/>
              <w:tr2bl w:val="nil"/>
            </w:tcBorders>
            <w:vAlign w:val="center"/>
          </w:tcPr>
          <w:p w14:paraId="5AA3699D">
            <w:pPr>
              <w:widowControl/>
              <w:spacing w:line="400" w:lineRule="exact"/>
              <w:jc w:val="left"/>
              <w:rPr>
                <w:rFonts w:hint="eastAsia" w:ascii="仿宋_GB2312" w:hAnsi="仿宋_GB2312" w:eastAsia="仿宋_GB2312" w:cs="仿宋_GB2312"/>
                <w:sz w:val="28"/>
                <w:szCs w:val="28"/>
                <w:highlight w:val="none"/>
              </w:rPr>
            </w:pPr>
          </w:p>
        </w:tc>
        <w:tc>
          <w:tcPr>
            <w:tcW w:w="735" w:type="dxa"/>
            <w:tcBorders>
              <w:tl2br w:val="nil"/>
              <w:tr2bl w:val="nil"/>
            </w:tcBorders>
            <w:vAlign w:val="center"/>
          </w:tcPr>
          <w:p w14:paraId="3ADC533E">
            <w:pPr>
              <w:widowControl/>
              <w:spacing w:line="400" w:lineRule="exact"/>
              <w:jc w:val="left"/>
              <w:rPr>
                <w:rFonts w:hint="eastAsia" w:ascii="仿宋_GB2312" w:hAnsi="仿宋_GB2312" w:eastAsia="仿宋_GB2312" w:cs="仿宋_GB2312"/>
                <w:sz w:val="28"/>
                <w:szCs w:val="28"/>
                <w:highlight w:val="none"/>
              </w:rPr>
            </w:pPr>
          </w:p>
        </w:tc>
        <w:tc>
          <w:tcPr>
            <w:tcW w:w="887" w:type="dxa"/>
            <w:vMerge w:val="continue"/>
            <w:tcBorders>
              <w:tl2br w:val="nil"/>
              <w:tr2bl w:val="nil"/>
            </w:tcBorders>
            <w:vAlign w:val="center"/>
          </w:tcPr>
          <w:p w14:paraId="37C70A07">
            <w:pPr>
              <w:widowControl/>
              <w:spacing w:line="400" w:lineRule="exact"/>
              <w:jc w:val="left"/>
              <w:rPr>
                <w:rFonts w:hint="eastAsia" w:ascii="仿宋_GB2312" w:hAnsi="仿宋_GB2312" w:eastAsia="仿宋_GB2312" w:cs="仿宋_GB2312"/>
                <w:sz w:val="28"/>
                <w:szCs w:val="28"/>
                <w:highlight w:val="none"/>
              </w:rPr>
            </w:pPr>
          </w:p>
        </w:tc>
      </w:tr>
      <w:tr w14:paraId="6E9F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blCellSpacing w:w="15" w:type="dxa"/>
          <w:jc w:val="center"/>
        </w:trPr>
        <w:tc>
          <w:tcPr>
            <w:tcW w:w="9257" w:type="dxa"/>
            <w:gridSpan w:val="7"/>
            <w:tcBorders>
              <w:tl2br w:val="nil"/>
              <w:tr2bl w:val="nil"/>
            </w:tcBorders>
            <w:vAlign w:val="center"/>
          </w:tcPr>
          <w:p w14:paraId="6F69BBFF">
            <w:pPr>
              <w:pStyle w:val="14"/>
              <w:widowControl/>
              <w:spacing w:beforeAutospacing="0" w:afterAutospacing="0" w:line="4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双方项目管理人员意见</w:t>
            </w:r>
          </w:p>
        </w:tc>
      </w:tr>
      <w:tr w14:paraId="5654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4" w:hRule="atLeast"/>
          <w:tblCellSpacing w:w="15" w:type="dxa"/>
          <w:jc w:val="center"/>
        </w:trPr>
        <w:tc>
          <w:tcPr>
            <w:tcW w:w="4589" w:type="dxa"/>
            <w:gridSpan w:val="4"/>
            <w:tcBorders>
              <w:tl2br w:val="nil"/>
              <w:tr2bl w:val="nil"/>
            </w:tcBorders>
            <w:vAlign w:val="center"/>
          </w:tcPr>
          <w:p w14:paraId="6950A3EB">
            <w:pPr>
              <w:pStyle w:val="14"/>
              <w:widowControl/>
              <w:spacing w:beforeAutospacing="0" w:afterAutospacing="0" w:line="400" w:lineRule="exact"/>
              <w:jc w:val="both"/>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p>
        </w:tc>
        <w:tc>
          <w:tcPr>
            <w:tcW w:w="4638" w:type="dxa"/>
            <w:gridSpan w:val="3"/>
            <w:tcBorders>
              <w:tl2br w:val="nil"/>
              <w:tr2bl w:val="nil"/>
            </w:tcBorders>
            <w:vAlign w:val="center"/>
          </w:tcPr>
          <w:p w14:paraId="2D387DFA">
            <w:pPr>
              <w:pStyle w:val="14"/>
              <w:widowControl/>
              <w:spacing w:beforeAutospacing="0" w:afterAutospacing="0" w:line="400" w:lineRule="exact"/>
              <w:jc w:val="both"/>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tc>
      </w:tr>
    </w:tbl>
    <w:p w14:paraId="52B804E0">
      <w:pPr>
        <w:pStyle w:val="20"/>
        <w:spacing w:line="560" w:lineRule="exact"/>
        <w:ind w:firstLine="624"/>
        <w:rPr>
          <w:rFonts w:hint="eastAsia"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t>六、服务</w:t>
      </w:r>
      <w:r>
        <w:rPr>
          <w:rFonts w:hint="eastAsia" w:ascii="黑体" w:hAnsi="黑体" w:eastAsia="黑体" w:cs="黑体"/>
          <w:color w:val="333333"/>
          <w:kern w:val="0"/>
          <w:sz w:val="32"/>
          <w:szCs w:val="32"/>
          <w:highlight w:val="none"/>
          <w:lang w:eastAsia="zh-CN"/>
        </w:rPr>
        <w:t>范围和</w:t>
      </w:r>
      <w:r>
        <w:rPr>
          <w:rFonts w:hint="eastAsia" w:ascii="黑体" w:hAnsi="黑体" w:eastAsia="黑体" w:cs="黑体"/>
          <w:color w:val="333333"/>
          <w:kern w:val="0"/>
          <w:sz w:val="32"/>
          <w:szCs w:val="32"/>
          <w:highlight w:val="none"/>
        </w:rPr>
        <w:t>期限</w:t>
      </w:r>
    </w:p>
    <w:p w14:paraId="288289DB">
      <w:pPr>
        <w:spacing w:line="560" w:lineRule="exact"/>
        <w:ind w:firstLine="624"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1.服务范围：福建省水利厅和福建省水利信息中心。</w:t>
      </w:r>
    </w:p>
    <w:p w14:paraId="30BEB184">
      <w:pPr>
        <w:spacing w:line="560" w:lineRule="exact"/>
        <w:ind w:firstLine="624"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2.服务期限：</w:t>
      </w:r>
      <w:r>
        <w:rPr>
          <w:rFonts w:hint="eastAsia" w:ascii="仿宋_GB2312" w:hAnsi="仿宋_GB2312" w:eastAsia="仿宋_GB2312" w:cs="仿宋_GB2312"/>
          <w:kern w:val="0"/>
          <w:sz w:val="32"/>
          <w:szCs w:val="32"/>
          <w:highlight w:val="none"/>
        </w:rPr>
        <w:t>2025年9月30日起或合同签订后1个工作日内提供运维服务，服务期限为3年。</w:t>
      </w:r>
    </w:p>
    <w:p w14:paraId="716216CE">
      <w:pPr>
        <w:pStyle w:val="20"/>
        <w:spacing w:line="560" w:lineRule="exact"/>
        <w:ind w:firstLine="624"/>
        <w:rPr>
          <w:rFonts w:hint="eastAsia"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rPr>
        <w:t>七、付款方式</w:t>
      </w:r>
    </w:p>
    <w:p w14:paraId="179C0A6E">
      <w:pPr>
        <w:spacing w:line="560" w:lineRule="exact"/>
        <w:ind w:firstLine="624"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1.合同签订后15日内，供应商开具</w:t>
      </w:r>
      <w:r>
        <w:rPr>
          <w:rFonts w:ascii="仿宋_GB2312" w:hAnsi="仿宋_GB2312" w:eastAsia="仿宋_GB2312" w:cs="仿宋_GB2312"/>
          <w:kern w:val="0"/>
          <w:sz w:val="32"/>
          <w:szCs w:val="32"/>
          <w:highlight w:val="none"/>
        </w:rPr>
        <w:t>等额正式发票</w:t>
      </w:r>
      <w:r>
        <w:rPr>
          <w:rFonts w:hint="eastAsia" w:ascii="仿宋_GB2312" w:hAnsi="仿宋_GB2312" w:eastAsia="仿宋_GB2312" w:cs="仿宋_GB2312"/>
          <w:kern w:val="0"/>
          <w:sz w:val="32"/>
          <w:szCs w:val="32"/>
          <w:highlight w:val="none"/>
        </w:rPr>
        <w:t>，支付40%的合同款项作为预付款。</w:t>
      </w:r>
    </w:p>
    <w:p w14:paraId="7449BE04">
      <w:pPr>
        <w:spacing w:line="560" w:lineRule="exact"/>
        <w:ind w:firstLine="624"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2.服务期首年最后一个月当月内，采购人组织开展服务评价，根据服务评价结果，供应商开具</w:t>
      </w:r>
      <w:r>
        <w:rPr>
          <w:rFonts w:ascii="仿宋_GB2312" w:hAnsi="仿宋_GB2312" w:eastAsia="仿宋_GB2312" w:cs="仿宋_GB2312"/>
          <w:kern w:val="0"/>
          <w:sz w:val="32"/>
          <w:szCs w:val="32"/>
          <w:highlight w:val="none"/>
        </w:rPr>
        <w:t>等额正式发票</w:t>
      </w:r>
      <w:r>
        <w:rPr>
          <w:rFonts w:hint="eastAsia" w:ascii="仿宋_GB2312" w:hAnsi="仿宋_GB2312" w:eastAsia="仿宋_GB2312" w:cs="仿宋_GB2312"/>
          <w:kern w:val="0"/>
          <w:sz w:val="32"/>
          <w:szCs w:val="32"/>
          <w:highlight w:val="none"/>
        </w:rPr>
        <w:t>，并出具正规</w:t>
      </w:r>
      <w:r>
        <w:rPr>
          <w:rFonts w:hint="eastAsia" w:ascii="仿宋_GB2312" w:hAnsi="仿宋_GB2312" w:eastAsia="仿宋_GB2312" w:cs="仿宋_GB2312"/>
          <w:kern w:val="0"/>
          <w:sz w:val="32"/>
          <w:szCs w:val="32"/>
          <w:highlight w:val="none"/>
          <w:lang w:eastAsia="zh-CN"/>
        </w:rPr>
        <w:t>银行</w:t>
      </w:r>
      <w:r>
        <w:rPr>
          <w:rFonts w:hint="eastAsia" w:ascii="仿宋_GB2312" w:hAnsi="仿宋_GB2312" w:eastAsia="仿宋_GB2312" w:cs="仿宋_GB2312"/>
          <w:kern w:val="0"/>
          <w:sz w:val="32"/>
          <w:szCs w:val="32"/>
          <w:highlight w:val="none"/>
        </w:rPr>
        <w:t>开具的7万元履约保函后，</w:t>
      </w:r>
      <w:r>
        <w:rPr>
          <w:rFonts w:ascii="仿宋_GB2312" w:hAnsi="仿宋_GB2312" w:eastAsia="仿宋_GB2312" w:cs="仿宋_GB2312"/>
          <w:kern w:val="0"/>
          <w:sz w:val="32"/>
          <w:szCs w:val="32"/>
          <w:highlight w:val="none"/>
        </w:rPr>
        <w:t>采购人在</w:t>
      </w:r>
      <w:r>
        <w:rPr>
          <w:rFonts w:hint="eastAsia" w:ascii="仿宋_GB2312" w:hAnsi="仿宋_GB2312" w:eastAsia="仿宋_GB2312" w:cs="仿宋_GB2312"/>
          <w:kern w:val="0"/>
          <w:sz w:val="32"/>
          <w:szCs w:val="32"/>
          <w:highlight w:val="none"/>
        </w:rPr>
        <w:t>15个工作日内支付剩余合同款项作为项目尾款。</w:t>
      </w:r>
    </w:p>
    <w:p w14:paraId="2C0EA25D">
      <w:pPr>
        <w:spacing w:line="560" w:lineRule="exact"/>
        <w:ind w:left="0" w:leftChars="0" w:firstLine="624" w:firstLineChars="200"/>
        <w:rPr>
          <w:rFonts w:hint="eastAsia" w:ascii="黑体" w:hAnsi="黑体" w:eastAsia="黑体" w:cs="黑体"/>
          <w:color w:val="333333"/>
          <w:kern w:val="0"/>
          <w:sz w:val="32"/>
          <w:szCs w:val="32"/>
        </w:rPr>
      </w:pPr>
      <w:r>
        <w:rPr>
          <w:rFonts w:hint="eastAsia" w:ascii="仿宋_GB2312" w:hAnsi="仿宋_GB2312" w:eastAsia="仿宋_GB2312" w:cs="仿宋_GB2312"/>
          <w:kern w:val="0"/>
          <w:sz w:val="32"/>
          <w:szCs w:val="32"/>
          <w:highlight w:val="none"/>
        </w:rPr>
        <w:t>3.服务期结束月当月内，采购人组织开展服务评价，通过服务评价的退还履约保函；考核未通过的，扣押履约保函相应金额，并按运维工作考核要求追讨赔偿款。</w:t>
      </w:r>
    </w:p>
    <w:sectPr>
      <w:pgSz w:w="11906" w:h="16838"/>
      <w:pgMar w:top="1701" w:right="1587" w:bottom="1701" w:left="1587" w:header="851" w:footer="992" w:gutter="0"/>
      <w:cols w:space="0" w:num="1"/>
      <w:docGrid w:type="linesAndChars" w:linePitch="597"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wZjUzYWE0ZDI0YTZiMjMyZGU1NWFiMDQ2ZDZiOTIifQ=="/>
  </w:docVars>
  <w:rsids>
    <w:rsidRoot w:val="20833333"/>
    <w:rsid w:val="001646C0"/>
    <w:rsid w:val="00332C61"/>
    <w:rsid w:val="004A6F12"/>
    <w:rsid w:val="004D2AF2"/>
    <w:rsid w:val="004F6DDD"/>
    <w:rsid w:val="0053623B"/>
    <w:rsid w:val="00554ACA"/>
    <w:rsid w:val="005E768E"/>
    <w:rsid w:val="00645322"/>
    <w:rsid w:val="00653DB2"/>
    <w:rsid w:val="0072282A"/>
    <w:rsid w:val="007F1C01"/>
    <w:rsid w:val="00806779"/>
    <w:rsid w:val="00844A3F"/>
    <w:rsid w:val="00935ED7"/>
    <w:rsid w:val="00A60E61"/>
    <w:rsid w:val="00B953A7"/>
    <w:rsid w:val="00C173D2"/>
    <w:rsid w:val="00C85A30"/>
    <w:rsid w:val="00CA199A"/>
    <w:rsid w:val="00CF06BF"/>
    <w:rsid w:val="00DF4E4B"/>
    <w:rsid w:val="00E13DFD"/>
    <w:rsid w:val="00E457F2"/>
    <w:rsid w:val="00E51F03"/>
    <w:rsid w:val="00F214BD"/>
    <w:rsid w:val="05EF7E23"/>
    <w:rsid w:val="06DE0611"/>
    <w:rsid w:val="0739644B"/>
    <w:rsid w:val="0B6815E6"/>
    <w:rsid w:val="0EED181E"/>
    <w:rsid w:val="11CD1740"/>
    <w:rsid w:val="126F7498"/>
    <w:rsid w:val="12A36F41"/>
    <w:rsid w:val="1A6F363A"/>
    <w:rsid w:val="20833333"/>
    <w:rsid w:val="265435FF"/>
    <w:rsid w:val="2C9E20A7"/>
    <w:rsid w:val="305A4DA3"/>
    <w:rsid w:val="32BB7D8F"/>
    <w:rsid w:val="34AE37A8"/>
    <w:rsid w:val="35C242F0"/>
    <w:rsid w:val="37C31EA3"/>
    <w:rsid w:val="3A9B70B3"/>
    <w:rsid w:val="3D5D5666"/>
    <w:rsid w:val="42633326"/>
    <w:rsid w:val="468E7B89"/>
    <w:rsid w:val="492C01AB"/>
    <w:rsid w:val="4A606796"/>
    <w:rsid w:val="4BA12BC2"/>
    <w:rsid w:val="4BBD4F13"/>
    <w:rsid w:val="4FF260E2"/>
    <w:rsid w:val="54B31C46"/>
    <w:rsid w:val="5A5D2117"/>
    <w:rsid w:val="5C9C50D9"/>
    <w:rsid w:val="5F097414"/>
    <w:rsid w:val="5F141462"/>
    <w:rsid w:val="61077514"/>
    <w:rsid w:val="62B47269"/>
    <w:rsid w:val="67A7139C"/>
    <w:rsid w:val="688D22AC"/>
    <w:rsid w:val="6925336D"/>
    <w:rsid w:val="697F9DB0"/>
    <w:rsid w:val="6A0D6949"/>
    <w:rsid w:val="6A950D02"/>
    <w:rsid w:val="6EB84AD3"/>
    <w:rsid w:val="6FAFB7CB"/>
    <w:rsid w:val="70100B68"/>
    <w:rsid w:val="7395693B"/>
    <w:rsid w:val="765F3ED3"/>
    <w:rsid w:val="77664A67"/>
    <w:rsid w:val="79727588"/>
    <w:rsid w:val="79AD2EAE"/>
    <w:rsid w:val="7CF9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3"/>
    <w:basedOn w:val="4"/>
    <w:next w:val="1"/>
    <w:qFormat/>
    <w:uiPriority w:val="9"/>
    <w:pPr>
      <w:keepNext/>
      <w:keepLines/>
      <w:spacing w:before="260" w:after="260" w:line="416" w:lineRule="auto"/>
      <w:outlineLvl w:val="2"/>
    </w:pPr>
    <w:rPr>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ind w:firstLine="200" w:firstLineChars="200"/>
      <w:jc w:val="left"/>
    </w:pPr>
    <w:rPr>
      <w:rFonts w:ascii="宋体" w:eastAsia="宋体" w:cs="宋体"/>
      <w:kern w:val="0"/>
      <w:sz w:val="23"/>
      <w:szCs w:val="23"/>
    </w:rPr>
  </w:style>
  <w:style w:type="paragraph" w:styleId="3">
    <w:name w:val="Body Text 2"/>
    <w:basedOn w:val="1"/>
    <w:next w:val="2"/>
    <w:qFormat/>
    <w:uiPriority w:val="0"/>
    <w:pPr>
      <w:spacing w:after="120" w:line="480" w:lineRule="auto"/>
    </w:pPr>
  </w:style>
  <w:style w:type="paragraph" w:styleId="6">
    <w:name w:val="Normal Indent"/>
    <w:basedOn w:val="1"/>
    <w:qFormat/>
    <w:uiPriority w:val="0"/>
    <w:pPr>
      <w:spacing w:line="360" w:lineRule="auto"/>
      <w:ind w:firstLine="476"/>
    </w:pPr>
    <w:rPr>
      <w:rFonts w:ascii="Times New Roman" w:hAnsi="Times New Roman" w:eastAsia="宋体" w:cs="Times New Roman"/>
      <w:sz w:val="24"/>
      <w:szCs w:val="20"/>
      <w:lang w:val="zh-CN"/>
    </w:r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Block Text"/>
    <w:basedOn w:val="1"/>
    <w:qFormat/>
    <w:uiPriority w:val="0"/>
    <w:pPr>
      <w:spacing w:line="360" w:lineRule="auto"/>
      <w:ind w:left="630" w:right="-609" w:firstLine="420"/>
    </w:pPr>
    <w:rPr>
      <w:rFonts w:ascii="仿宋_GB2312" w:eastAsia="仿宋_GB2312"/>
    </w:rPr>
  </w:style>
  <w:style w:type="paragraph" w:styleId="10">
    <w:name w:val="Plain Text"/>
    <w:basedOn w:val="1"/>
    <w:semiHidden/>
    <w:unhideWhenUsed/>
    <w:qFormat/>
    <w:uiPriority w:val="99"/>
    <w:rPr>
      <w:rFonts w:ascii="宋体" w:hAnsi="Courier New" w:eastAsia="宋体"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link w:val="26"/>
    <w:qFormat/>
    <w:uiPriority w:val="0"/>
    <w:pP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8"/>
    <w:qFormat/>
    <w:uiPriority w:val="99"/>
    <w:pPr>
      <w:tabs>
        <w:tab w:val="left" w:pos="4606"/>
      </w:tabs>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styleId="20">
    <w:name w:val="List Paragraph"/>
    <w:basedOn w:val="1"/>
    <w:qFormat/>
    <w:uiPriority w:val="99"/>
    <w:pPr>
      <w:ind w:firstLine="420" w:firstLineChars="200"/>
    </w:pPr>
  </w:style>
  <w:style w:type="paragraph" w:customStyle="1" w:styleId="21">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列出段落2"/>
    <w:basedOn w:val="1"/>
    <w:unhideWhenUsed/>
    <w:qFormat/>
    <w:uiPriority w:val="99"/>
    <w:pPr>
      <w:ind w:firstLine="420" w:firstLineChars="200"/>
    </w:pPr>
  </w:style>
  <w:style w:type="paragraph" w:customStyle="1" w:styleId="23">
    <w:name w:val="无间隔1"/>
    <w:qFormat/>
    <w:uiPriority w:val="1"/>
    <w:pPr>
      <w:widowControl w:val="0"/>
      <w:spacing w:line="560" w:lineRule="exact"/>
      <w:ind w:firstLine="624" w:firstLineChars="200"/>
      <w:jc w:val="both"/>
    </w:pPr>
    <w:rPr>
      <w:rFonts w:ascii="仿宋_GB2312" w:hAnsi="仿宋_GB2312" w:eastAsia="仿宋_GB2312" w:cs="仿宋_GB2312"/>
      <w:kern w:val="2"/>
      <w:sz w:val="32"/>
      <w:szCs w:val="32"/>
      <w:lang w:val="en-US" w:eastAsia="zh-CN" w:bidi="ar-SA"/>
    </w:rPr>
  </w:style>
  <w:style w:type="paragraph" w:customStyle="1" w:styleId="24">
    <w:name w:val="列出段落1"/>
    <w:basedOn w:val="1"/>
    <w:unhideWhenUsed/>
    <w:qFormat/>
    <w:uiPriority w:val="99"/>
    <w:pPr>
      <w:spacing w:line="360" w:lineRule="auto"/>
      <w:ind w:firstLine="420" w:firstLineChars="200"/>
    </w:pPr>
    <w:rPr>
      <w:rFonts w:ascii="宋体" w:hAnsi="Calibri" w:eastAsia="宋体"/>
      <w:sz w:val="24"/>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页眉 字符"/>
    <w:basedOn w:val="18"/>
    <w:link w:val="13"/>
    <w:qFormat/>
    <w:uiPriority w:val="0"/>
    <w:rPr>
      <w:rFonts w:asciiTheme="minorHAnsi" w:hAnsiTheme="minorHAnsi" w:eastAsiaTheme="minorEastAsia" w:cstheme="minorBidi"/>
      <w:kern w:val="2"/>
      <w:sz w:val="18"/>
      <w:szCs w:val="18"/>
    </w:rPr>
  </w:style>
  <w:style w:type="paragraph" w:customStyle="1" w:styleId="27">
    <w:name w:val="null3"/>
    <w:hidden/>
    <w:qFormat/>
    <w:uiPriority w:val="0"/>
    <w:rPr>
      <w:rFonts w:hint="eastAsia" w:asciiTheme="minorHAnsi" w:hAnsiTheme="minorHAnsi" w:eastAsiaTheme="minorEastAsia" w:cstheme="minorBidi"/>
      <w:lang w:val="en-US" w:eastAsia="zh-Hans" w:bidi="ar-SA"/>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1201</Words>
  <Characters>6851</Characters>
  <Lines>57</Lines>
  <Paragraphs>16</Paragraphs>
  <TotalTime>9</TotalTime>
  <ScaleCrop>false</ScaleCrop>
  <LinksUpToDate>false</LinksUpToDate>
  <CharactersWithSpaces>8036</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2025-09-09T17:46:00Z</dcterms:created>
  <dc:creator>高阿勤</dc:creator>
  <cp:lastModifiedBy>user</cp:lastModifiedBy>
  <dcterms:modified xsi:type="dcterms:W3CDTF">2025-09-22T07:51:50Z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FA8BF6CE818B464C801C9C4C9E002E15_13</vt:lpwstr>
  </property>
  <property fmtid="{D5CDD505-2E9C-101B-9397-08002B2CF9AE}" pid="4" name="KSOTemplateDocerSaveRecord">
    <vt:lpwstr>eyJoZGlkIjoiNmE4YWE2NWM2NjkyMzUxOGRkNDNkNjJlMmYxYjJlZDkiLCJ1c2VySWQiOiIxNjY5NTE3OTU3In0=</vt:lpwstr>
  </property>
</Properties>
</file>