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5825F">
      <w:pPr>
        <w:spacing w:line="560" w:lineRule="exact"/>
        <w:jc w:val="center"/>
        <w:rPr>
          <w:rFonts w:ascii="方正小标宋简体" w:hAnsi="方正小标宋简体" w:eastAsia="方正小标宋简体" w:cs="方正小标宋简体"/>
          <w:sz w:val="36"/>
          <w:szCs w:val="36"/>
          <w:highlight w:val="none"/>
        </w:rPr>
      </w:pPr>
      <w:bookmarkStart w:id="0" w:name="OLE_LINK2"/>
      <w:bookmarkStart w:id="1" w:name="OLE_LINK6"/>
      <w:r>
        <w:rPr>
          <w:rFonts w:hint="eastAsia" w:ascii="方正小标宋简体" w:hAnsi="方正小标宋简体" w:eastAsia="方正小标宋简体" w:cs="方正小标宋简体"/>
          <w:sz w:val="36"/>
          <w:szCs w:val="36"/>
          <w:highlight w:val="none"/>
        </w:rPr>
        <w:t>2027年度福建省数字水安视频监视系统运维服务项目需求调查报告编制服务</w:t>
      </w:r>
      <w:bookmarkEnd w:id="0"/>
      <w:r>
        <w:rPr>
          <w:rFonts w:hint="eastAsia" w:ascii="方正小标宋简体" w:hAnsi="方正小标宋简体" w:eastAsia="方正小标宋简体" w:cs="方正小标宋简体"/>
          <w:sz w:val="36"/>
          <w:szCs w:val="36"/>
          <w:highlight w:val="none"/>
        </w:rPr>
        <w:t>内容与要求</w:t>
      </w:r>
    </w:p>
    <w:bookmarkEnd w:id="1"/>
    <w:p w14:paraId="10667A06">
      <w:pPr>
        <w:spacing w:line="560" w:lineRule="exact"/>
        <w:jc w:val="center"/>
        <w:rPr>
          <w:rFonts w:ascii="方正小标宋简体" w:hAnsi="黑体" w:eastAsia="方正小标宋简体"/>
          <w:sz w:val="28"/>
          <w:szCs w:val="28"/>
          <w:highlight w:val="none"/>
        </w:rPr>
      </w:pPr>
    </w:p>
    <w:p w14:paraId="653147FE">
      <w:pPr>
        <w:spacing w:line="560" w:lineRule="exact"/>
        <w:ind w:firstLine="643" w:firstLineChars="200"/>
        <w:rPr>
          <w:rFonts w:ascii="仿宋_GB2312" w:hAnsi="仿宋_GB2312" w:eastAsia="仿宋_GB2312"/>
          <w:b/>
          <w:bCs/>
          <w:sz w:val="32"/>
          <w:szCs w:val="32"/>
          <w:highlight w:val="none"/>
        </w:rPr>
      </w:pPr>
      <w:bookmarkStart w:id="2" w:name="_Hlk103268739"/>
      <w:bookmarkStart w:id="3" w:name="_Hlk103267877"/>
      <w:r>
        <w:rPr>
          <w:rFonts w:hint="eastAsia" w:ascii="仿宋_GB2312" w:hAnsi="仿宋_GB2312" w:eastAsia="仿宋_GB2312"/>
          <w:b/>
          <w:bCs/>
          <w:sz w:val="32"/>
          <w:szCs w:val="32"/>
          <w:highlight w:val="none"/>
        </w:rPr>
        <w:t>一、项目目标</w:t>
      </w:r>
    </w:p>
    <w:p w14:paraId="5F5720B5">
      <w:pPr>
        <w:spacing w:line="560" w:lineRule="exact"/>
        <w:ind w:firstLine="640"/>
        <w:rPr>
          <w:rFonts w:hint="eastAsia" w:ascii="仿宋_GB2312" w:hAnsi="仿宋_GB2312" w:eastAsia="仿宋_GB2312"/>
          <w:sz w:val="32"/>
          <w:szCs w:val="32"/>
          <w:highlight w:val="none"/>
        </w:rPr>
      </w:pPr>
      <w:bookmarkStart w:id="4" w:name="OLE_LINK4"/>
      <w:r>
        <w:rPr>
          <w:rFonts w:hint="eastAsia" w:ascii="仿宋_GB2312" w:hAnsi="仿宋_GB2312" w:eastAsia="仿宋_GB2312" w:cs="仿宋_GB2312"/>
          <w:b w:val="0"/>
          <w:bCs w:val="0"/>
          <w:color w:val="auto"/>
          <w:sz w:val="32"/>
          <w:szCs w:val="32"/>
          <w:highlight w:val="none"/>
          <w:lang w:val="en-US" w:eastAsia="zh-CN"/>
        </w:rPr>
        <w:t>为进一步加强福建省数字水安视频监视系统运维管理，及时发现和处理系统各类问题，保障水安系统正常运行，实现省级自建及市县级联视频监控点位的视频实时调阅、监控监管，为各有关部门提供可靠视频资源，根据《福建省洪水预警报中心数字水安视频监视系统（一期）运维管理暂行办法》要求，对福建省数字水安视频监视系运维服务需求进行全面梳理，做好后续项目运维采购前期工作，拟开展2027年度福建省数字水安视频监视系统运维服务项目需求调查报告编制工作。</w:t>
      </w:r>
    </w:p>
    <w:bookmarkEnd w:id="4"/>
    <w:p w14:paraId="7FF42AA7">
      <w:pPr>
        <w:spacing w:line="560" w:lineRule="exact"/>
        <w:ind w:firstLine="640"/>
        <w:rPr>
          <w:rFonts w:ascii="仿宋_GB2312" w:hAnsi="仿宋_GB2312" w:eastAsia="仿宋_GB2312"/>
          <w:b/>
          <w:bCs/>
          <w:sz w:val="32"/>
          <w:szCs w:val="32"/>
          <w:highlight w:val="none"/>
        </w:rPr>
      </w:pPr>
      <w:r>
        <w:rPr>
          <w:rFonts w:hint="eastAsia" w:ascii="仿宋_GB2312" w:hAnsi="仿宋_GB2312" w:eastAsia="仿宋_GB2312"/>
          <w:b/>
          <w:bCs/>
          <w:sz w:val="32"/>
          <w:szCs w:val="32"/>
          <w:highlight w:val="none"/>
        </w:rPr>
        <w:t>二、咨询设计服务内容及要求</w:t>
      </w:r>
      <w:r>
        <w:rPr>
          <w:rFonts w:hint="eastAsia" w:ascii="仿宋_GB2312" w:hAnsi="仿宋_GB2312" w:eastAsia="仿宋_GB2312"/>
          <w:b/>
          <w:bCs/>
          <w:sz w:val="32"/>
          <w:szCs w:val="32"/>
          <w:highlight w:val="none"/>
          <w:lang w:val="en-US" w:eastAsia="zh-CN"/>
        </w:rPr>
        <w:t>（以“</w:t>
      </w:r>
      <w:bookmarkStart w:id="5" w:name="OLE_LINK5"/>
      <w:r>
        <w:rPr>
          <w:rFonts w:hint="eastAsia" w:ascii="仿宋_GB2312" w:hAnsi="仿宋_GB2312" w:eastAsia="仿宋_GB2312"/>
          <w:b/>
          <w:bCs/>
          <w:sz w:val="32"/>
          <w:szCs w:val="32"/>
          <w:highlight w:val="none"/>
          <w:lang w:val="en-US" w:eastAsia="zh-CN"/>
        </w:rPr>
        <w:t>★</w:t>
      </w:r>
      <w:bookmarkEnd w:id="5"/>
      <w:r>
        <w:rPr>
          <w:rFonts w:hint="eastAsia" w:ascii="仿宋_GB2312" w:hAnsi="仿宋_GB2312" w:eastAsia="仿宋_GB2312"/>
          <w:b/>
          <w:bCs/>
          <w:sz w:val="32"/>
          <w:szCs w:val="32"/>
          <w:highlight w:val="none"/>
          <w:lang w:val="en-US" w:eastAsia="zh-CN"/>
        </w:rPr>
        <w:t>”标示的内容为不允许负偏离的实质性要求）</w:t>
      </w:r>
    </w:p>
    <w:p w14:paraId="028AA687">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rPr>
        <w:t>1.咨询设计服务成果</w:t>
      </w:r>
    </w:p>
    <w:p w14:paraId="0D882783">
      <w:pPr>
        <w:spacing w:line="560" w:lineRule="exact"/>
        <w:ind w:firstLine="640" w:firstLineChars="200"/>
        <w:rPr>
          <w:rFonts w:hint="eastAsia" w:ascii="仿宋_GB2312" w:hAnsi="仿宋_GB2312" w:eastAsia="仿宋_GB2312"/>
          <w:sz w:val="32"/>
          <w:szCs w:val="32"/>
          <w:highlight w:val="none"/>
          <w:lang w:eastAsia="zh-CN"/>
        </w:rPr>
      </w:pPr>
      <w:r>
        <w:rPr>
          <w:rFonts w:ascii="仿宋_GB2312" w:hAnsi="仿宋_GB2312" w:eastAsia="仿宋_GB2312"/>
          <w:sz w:val="32"/>
          <w:szCs w:val="32"/>
          <w:highlight w:val="none"/>
        </w:rPr>
        <w:t>202</w:t>
      </w:r>
      <w:r>
        <w:rPr>
          <w:rFonts w:hint="eastAsia" w:ascii="仿宋_GB2312" w:hAnsi="仿宋_GB2312" w:eastAsia="仿宋_GB2312"/>
          <w:sz w:val="32"/>
          <w:szCs w:val="32"/>
          <w:highlight w:val="none"/>
          <w:lang w:val="en-US" w:eastAsia="zh-CN"/>
        </w:rPr>
        <w:t>7</w:t>
      </w:r>
      <w:r>
        <w:rPr>
          <w:rFonts w:ascii="仿宋_GB2312" w:hAnsi="仿宋_GB2312" w:eastAsia="仿宋_GB2312"/>
          <w:sz w:val="32"/>
          <w:szCs w:val="32"/>
          <w:highlight w:val="none"/>
        </w:rPr>
        <w:t>年度福建省数字水安视频监视系统运维服务</w:t>
      </w:r>
      <w:r>
        <w:rPr>
          <w:rFonts w:hint="eastAsia" w:ascii="仿宋_GB2312" w:hAnsi="仿宋_GB2312" w:eastAsia="仿宋_GB2312"/>
          <w:sz w:val="32"/>
          <w:szCs w:val="32"/>
          <w:highlight w:val="none"/>
          <w:lang w:val="en-US" w:eastAsia="zh-CN"/>
        </w:rPr>
        <w:t>项目</w:t>
      </w:r>
      <w:r>
        <w:rPr>
          <w:rFonts w:hint="eastAsia" w:ascii="仿宋_GB2312" w:hAnsi="仿宋_GB2312" w:eastAsia="仿宋_GB2312"/>
          <w:sz w:val="32"/>
          <w:szCs w:val="32"/>
          <w:highlight w:val="none"/>
        </w:rPr>
        <w:t>需求调查报告编制</w:t>
      </w:r>
      <w:r>
        <w:rPr>
          <w:rFonts w:hint="eastAsia" w:ascii="仿宋_GB2312" w:hAnsi="仿宋_GB2312" w:eastAsia="仿宋_GB2312"/>
          <w:sz w:val="32"/>
          <w:szCs w:val="32"/>
          <w:highlight w:val="none"/>
          <w:lang w:eastAsia="zh-CN"/>
        </w:rPr>
        <w:t>。</w:t>
      </w:r>
    </w:p>
    <w:p w14:paraId="026C6BD0">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rPr>
        <w:t>2.</w:t>
      </w:r>
      <w:r>
        <w:rPr>
          <w:rFonts w:hint="eastAsia" w:ascii="仿宋_GB2312" w:hAnsi="仿宋_GB2312" w:eastAsia="仿宋_GB2312"/>
          <w:sz w:val="32"/>
          <w:szCs w:val="32"/>
          <w:highlight w:val="none"/>
          <w:lang w:val="en-US" w:eastAsia="zh-CN"/>
        </w:rPr>
        <w:t>报告</w:t>
      </w:r>
      <w:r>
        <w:rPr>
          <w:rFonts w:hint="eastAsia" w:ascii="仿宋_GB2312" w:hAnsi="仿宋_GB2312" w:eastAsia="仿宋_GB2312"/>
          <w:sz w:val="32"/>
          <w:szCs w:val="32"/>
          <w:highlight w:val="none"/>
        </w:rPr>
        <w:t>编制原则要求</w:t>
      </w:r>
    </w:p>
    <w:p w14:paraId="38059027">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rPr>
        <w:t>需求调查报告应遵循国家水利部及省大数据管理局相关政策法规，按有关标准、规范进行编制。同时遵循如下原则：</w:t>
      </w:r>
    </w:p>
    <w:p w14:paraId="07E18EFA">
      <w:pPr>
        <w:spacing w:line="560" w:lineRule="exact"/>
        <w:ind w:firstLine="640" w:firstLineChars="200"/>
        <w:rPr>
          <w:rFonts w:hint="eastAsia" w:ascii="仿宋_GB2312" w:hAnsi="仿宋_GB2312" w:eastAsia="仿宋_GB2312"/>
          <w:sz w:val="32"/>
          <w:szCs w:val="32"/>
          <w:highlight w:val="none"/>
          <w:lang w:eastAsia="zh-CN"/>
        </w:rPr>
      </w:pPr>
      <w:r>
        <w:rPr>
          <w:rFonts w:hint="eastAsia" w:ascii="仿宋_GB2312" w:hAnsi="仿宋_GB2312" w:eastAsia="仿宋_GB2312"/>
          <w:sz w:val="32"/>
          <w:szCs w:val="32"/>
          <w:highlight w:val="none"/>
        </w:rPr>
        <w:t>（1）</w:t>
      </w:r>
      <w:r>
        <w:rPr>
          <w:rFonts w:hint="eastAsia" w:ascii="仿宋_GB2312" w:hAnsi="仿宋_GB2312" w:eastAsia="仿宋_GB2312"/>
          <w:sz w:val="32"/>
          <w:szCs w:val="32"/>
          <w:highlight w:val="none"/>
          <w:lang w:val="en-US" w:eastAsia="zh-CN"/>
        </w:rPr>
        <w:t>坚持</w:t>
      </w:r>
      <w:r>
        <w:rPr>
          <w:rFonts w:hint="eastAsia" w:ascii="仿宋_GB2312" w:hAnsi="仿宋_GB2312" w:eastAsia="仿宋_GB2312"/>
          <w:sz w:val="32"/>
          <w:szCs w:val="32"/>
          <w:highlight w:val="none"/>
        </w:rPr>
        <w:t>顶层设计，加强项目统筹管理和共建共享共用，推进全面、协调发展。加强数据资源集中汇聚与融合共享，避免重复建设</w:t>
      </w:r>
      <w:r>
        <w:rPr>
          <w:rFonts w:hint="eastAsia" w:ascii="仿宋_GB2312" w:hAnsi="仿宋_GB2312" w:eastAsia="仿宋_GB2312"/>
          <w:sz w:val="32"/>
          <w:szCs w:val="32"/>
          <w:highlight w:val="none"/>
          <w:lang w:eastAsia="zh-CN"/>
        </w:rPr>
        <w:t>。</w:t>
      </w:r>
    </w:p>
    <w:p w14:paraId="4ED2DF87">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rPr>
        <w:t>（2）坚持围绕国家信息化重大战略部署，结合水利电子政务发展需求以及大数据建设任务，实现电子政务建设、水利大数据智能化建设同谋划、同部署、同促进、同发展，提升全省水利电子政务水平。</w:t>
      </w:r>
    </w:p>
    <w:p w14:paraId="1C2B7AFC">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3</w:t>
      </w:r>
      <w:r>
        <w:rPr>
          <w:rFonts w:hint="eastAsia" w:ascii="仿宋_GB2312" w:hAnsi="仿宋_GB2312" w:eastAsia="仿宋_GB2312"/>
          <w:sz w:val="32"/>
          <w:szCs w:val="32"/>
          <w:highlight w:val="none"/>
        </w:rPr>
        <w:t>.按照《福建省省级政务信息化项目管理办法（试行）》要求编写相应需求调查报告。</w:t>
      </w:r>
    </w:p>
    <w:p w14:paraId="740C045C">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4</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供应商</w:t>
      </w:r>
      <w:r>
        <w:rPr>
          <w:rFonts w:hint="eastAsia" w:ascii="仿宋_GB2312" w:hAnsi="仿宋_GB2312" w:eastAsia="仿宋_GB2312"/>
          <w:sz w:val="32"/>
          <w:szCs w:val="32"/>
          <w:highlight w:val="none"/>
        </w:rPr>
        <w:t>应认真进行调查和研究，取得可靠的基本资料。需求调查报告，技术</w:t>
      </w:r>
      <w:r>
        <w:rPr>
          <w:rFonts w:hint="eastAsia" w:ascii="仿宋_GB2312" w:hAnsi="仿宋_GB2312" w:eastAsia="仿宋_GB2312"/>
          <w:sz w:val="32"/>
          <w:szCs w:val="32"/>
          <w:highlight w:val="none"/>
          <w:lang w:val="en-US" w:eastAsia="zh-CN"/>
        </w:rPr>
        <w:t>路线</w:t>
      </w:r>
      <w:r>
        <w:rPr>
          <w:rFonts w:hint="eastAsia" w:ascii="仿宋_GB2312" w:hAnsi="仿宋_GB2312" w:eastAsia="仿宋_GB2312"/>
          <w:sz w:val="32"/>
          <w:szCs w:val="32"/>
          <w:highlight w:val="none"/>
        </w:rPr>
        <w:t>先进，密切结合实际，节约投资，注重经济效益，报告应有分析、论证、明确的结论和意见，文字简明扼要，图表完整清晰。</w:t>
      </w:r>
    </w:p>
    <w:p w14:paraId="36056766">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5</w:t>
      </w:r>
      <w:r>
        <w:rPr>
          <w:rFonts w:hint="eastAsia" w:ascii="仿宋_GB2312" w:hAnsi="仿宋_GB2312" w:eastAsia="仿宋_GB2312"/>
          <w:sz w:val="32"/>
          <w:szCs w:val="32"/>
          <w:highlight w:val="none"/>
        </w:rPr>
        <w:t>.对建设内容设计提出方案建议与理解分析，应充分考虑采购人已经建设完成或准备建设的内容，并同时与采购人其他相关工程项目协调配合，遵循“资源共享、互联互通”原则，尽可能利用政府已有资源，避免重复建设，节约投资。</w:t>
      </w:r>
    </w:p>
    <w:p w14:paraId="24F293B4">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6</w:t>
      </w:r>
      <w:r>
        <w:rPr>
          <w:rFonts w:hint="eastAsia" w:ascii="仿宋_GB2312" w:hAnsi="仿宋_GB2312" w:eastAsia="仿宋_GB2312"/>
          <w:sz w:val="32"/>
          <w:szCs w:val="32"/>
          <w:highlight w:val="none"/>
        </w:rPr>
        <w:t>.现状调研要求：根据项目的</w:t>
      </w:r>
      <w:r>
        <w:rPr>
          <w:rFonts w:hint="eastAsia" w:ascii="仿宋_GB2312" w:hAnsi="仿宋_GB2312" w:eastAsia="仿宋_GB2312"/>
          <w:sz w:val="32"/>
          <w:szCs w:val="32"/>
          <w:highlight w:val="none"/>
          <w:lang w:val="en-US" w:eastAsia="zh-CN"/>
        </w:rPr>
        <w:t>运维服务</w:t>
      </w:r>
      <w:r>
        <w:rPr>
          <w:rFonts w:hint="eastAsia" w:ascii="仿宋_GB2312" w:hAnsi="仿宋_GB2312" w:eastAsia="仿宋_GB2312"/>
          <w:sz w:val="32"/>
          <w:szCs w:val="32"/>
          <w:highlight w:val="none"/>
        </w:rPr>
        <w:t>内容，对相关的信息化建设现状进行调研，全面掌握相关部门信息系统建设及应用情况，包括但不限于制定调研计划，制作各类调研表格材料，收集整理项目相关资料，开展应用需求调研与沟通交流等。</w:t>
      </w:r>
    </w:p>
    <w:p w14:paraId="39A07434">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7</w:t>
      </w:r>
      <w:r>
        <w:rPr>
          <w:rFonts w:hint="eastAsia" w:ascii="仿宋_GB2312" w:hAnsi="仿宋_GB2312" w:eastAsia="仿宋_GB2312"/>
          <w:sz w:val="32"/>
          <w:szCs w:val="32"/>
          <w:highlight w:val="none"/>
        </w:rPr>
        <w:t>.需求分析要求：须针对项目现状以及存在问题进行项目的需求分析工作。</w:t>
      </w:r>
    </w:p>
    <w:p w14:paraId="7AB7DE98">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8</w:t>
      </w:r>
      <w:r>
        <w:rPr>
          <w:rFonts w:hint="eastAsia" w:ascii="仿宋_GB2312" w:hAnsi="仿宋_GB2312" w:eastAsia="仿宋_GB2312"/>
          <w:sz w:val="32"/>
          <w:szCs w:val="32"/>
          <w:highlight w:val="none"/>
        </w:rPr>
        <w:t>.方案设计思路要求：在完成现状调研、需求分析的基础上，提出项目报告总体思路。</w:t>
      </w:r>
    </w:p>
    <w:p w14:paraId="572A306C">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9</w:t>
      </w:r>
      <w:r>
        <w:rPr>
          <w:rFonts w:hint="eastAsia" w:ascii="仿宋_GB2312" w:hAnsi="仿宋_GB2312" w:eastAsia="仿宋_GB2312"/>
          <w:sz w:val="32"/>
          <w:szCs w:val="32"/>
          <w:highlight w:val="none"/>
        </w:rPr>
        <w:t>.投资概算编制要求：根据</w:t>
      </w:r>
      <w:r>
        <w:rPr>
          <w:rFonts w:hint="eastAsia" w:ascii="仿宋_GB2312" w:hAnsi="Times New Roman" w:eastAsia="仿宋_GB2312" w:cs="Times New Roman"/>
          <w:snapToGrid w:val="0"/>
          <w:kern w:val="0"/>
          <w:sz w:val="32"/>
          <w:szCs w:val="32"/>
          <w:highlight w:val="none"/>
        </w:rPr>
        <w:t>《工程勘察设计收费标准（计价格〔2002〕10号）》、</w:t>
      </w:r>
      <w:r>
        <w:rPr>
          <w:rFonts w:hint="eastAsia" w:ascii="仿宋_GB2312" w:hAnsi="仿宋_GB2312" w:eastAsia="仿宋_GB2312"/>
          <w:sz w:val="32"/>
          <w:szCs w:val="32"/>
          <w:highlight w:val="none"/>
        </w:rPr>
        <w:t>“数字福建”等相关标准，进行项目投资概算编制，并根据需要提供相关询价文件。</w:t>
      </w:r>
    </w:p>
    <w:p w14:paraId="0A6FBF46">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rPr>
        <w:t>1</w:t>
      </w:r>
      <w:r>
        <w:rPr>
          <w:rFonts w:hint="eastAsia" w:ascii="仿宋_GB2312" w:hAnsi="仿宋_GB2312" w:eastAsia="仿宋_GB2312"/>
          <w:sz w:val="32"/>
          <w:szCs w:val="32"/>
          <w:highlight w:val="none"/>
          <w:lang w:val="en-US" w:eastAsia="zh-CN"/>
        </w:rPr>
        <w:t>0</w:t>
      </w:r>
      <w:r>
        <w:rPr>
          <w:rFonts w:hint="eastAsia" w:ascii="仿宋_GB2312" w:hAnsi="仿宋_GB2312" w:eastAsia="仿宋_GB2312"/>
          <w:sz w:val="32"/>
          <w:szCs w:val="32"/>
          <w:highlight w:val="none"/>
        </w:rPr>
        <w:t>.应深刻理解本项目工作内容，原则要求、时间要求、复杂程度，充分评估本项目相关要求、政策调整造成的不可预见费用。</w:t>
      </w:r>
    </w:p>
    <w:p w14:paraId="26F1A4C6">
      <w:pPr>
        <w:spacing w:line="560" w:lineRule="exact"/>
        <w:ind w:firstLine="640" w:firstLineChars="200"/>
        <w:rPr>
          <w:rFonts w:hint="eastAsia" w:ascii="仿宋_GB2312" w:hAnsi="宋体" w:eastAsia="仿宋_GB2312" w:cs="仿宋_GB2312"/>
          <w:color w:val="000000"/>
          <w:sz w:val="32"/>
          <w:szCs w:val="32"/>
          <w:highlight w:val="none"/>
          <w:lang w:eastAsia="zh-CN"/>
        </w:rPr>
      </w:pPr>
      <w:r>
        <w:rPr>
          <w:rFonts w:hint="eastAsia" w:ascii="仿宋_GB2312" w:hAnsi="宋体" w:eastAsia="仿宋_GB2312" w:cs="仿宋_GB2312"/>
          <w:color w:val="000000"/>
          <w:sz w:val="32"/>
          <w:szCs w:val="32"/>
          <w:highlight w:val="none"/>
          <w:lang w:val="en-US" w:eastAsia="zh-CN"/>
        </w:rPr>
        <w:t>★</w:t>
      </w:r>
      <w:r>
        <w:rPr>
          <w:rFonts w:hint="eastAsia" w:ascii="仿宋_GB2312" w:hAnsi="仿宋_GB2312" w:eastAsia="仿宋_GB2312"/>
          <w:sz w:val="32"/>
          <w:szCs w:val="32"/>
          <w:highlight w:val="none"/>
        </w:rPr>
        <w:t>1</w:t>
      </w:r>
      <w:r>
        <w:rPr>
          <w:rFonts w:hint="eastAsia" w:ascii="仿宋_GB2312" w:hAnsi="仿宋_GB2312" w:eastAsia="仿宋_GB2312"/>
          <w:sz w:val="32"/>
          <w:szCs w:val="32"/>
          <w:highlight w:val="none"/>
          <w:lang w:val="en-US" w:eastAsia="zh-CN"/>
        </w:rPr>
        <w:t>1</w:t>
      </w:r>
      <w:r>
        <w:rPr>
          <w:rFonts w:hint="eastAsia" w:ascii="仿宋_GB2312" w:hAnsi="仿宋_GB2312" w:eastAsia="仿宋_GB2312"/>
          <w:sz w:val="32"/>
          <w:szCs w:val="32"/>
          <w:highlight w:val="none"/>
        </w:rPr>
        <w:t>.供应商应设立咨询小组（至少</w:t>
      </w:r>
      <w:r>
        <w:rPr>
          <w:rFonts w:ascii="仿宋_GB2312" w:hAnsi="仿宋_GB2312" w:eastAsia="仿宋_GB2312"/>
          <w:sz w:val="32"/>
          <w:szCs w:val="32"/>
          <w:highlight w:val="none"/>
        </w:rPr>
        <w:t>3</w:t>
      </w:r>
      <w:r>
        <w:rPr>
          <w:rFonts w:hint="eastAsia" w:ascii="仿宋_GB2312" w:hAnsi="仿宋_GB2312" w:eastAsia="仿宋_GB2312"/>
          <w:sz w:val="32"/>
          <w:szCs w:val="32"/>
          <w:highlight w:val="none"/>
        </w:rPr>
        <w:t>人），包括但不限于项目</w:t>
      </w:r>
      <w:r>
        <w:rPr>
          <w:rFonts w:hint="eastAsia" w:ascii="仿宋_GB2312" w:hAnsi="仿宋_GB2312" w:eastAsia="仿宋_GB2312"/>
          <w:sz w:val="32"/>
          <w:szCs w:val="32"/>
          <w:highlight w:val="none"/>
          <w:lang w:val="en-US" w:eastAsia="zh-CN"/>
        </w:rPr>
        <w:t>经理</w:t>
      </w:r>
      <w:r>
        <w:rPr>
          <w:rFonts w:hint="eastAsia" w:ascii="仿宋_GB2312" w:hAnsi="仿宋_GB2312" w:eastAsia="仿宋_GB2312"/>
          <w:sz w:val="32"/>
          <w:szCs w:val="32"/>
          <w:highlight w:val="none"/>
        </w:rPr>
        <w:t>1名，</w:t>
      </w:r>
      <w:r>
        <w:rPr>
          <w:rFonts w:hint="eastAsia" w:ascii="仿宋_GB2312" w:hAnsi="仿宋_GB2312" w:eastAsia="仿宋_GB2312"/>
          <w:sz w:val="32"/>
          <w:szCs w:val="32"/>
          <w:highlight w:val="none"/>
          <w:lang w:val="en-US" w:eastAsia="zh-CN"/>
        </w:rPr>
        <w:t>报告主编</w:t>
      </w:r>
      <w:r>
        <w:rPr>
          <w:rFonts w:hint="eastAsia" w:ascii="仿宋_GB2312" w:hAnsi="仿宋_GB2312" w:eastAsia="仿宋_GB2312"/>
          <w:sz w:val="32"/>
          <w:szCs w:val="32"/>
          <w:highlight w:val="none"/>
        </w:rPr>
        <w:t>1名，项目造价（预算）咨询师1名。</w:t>
      </w:r>
      <w:r>
        <w:rPr>
          <w:rFonts w:ascii="仿宋_GB2312" w:hAnsi="宋体" w:eastAsia="仿宋_GB2312" w:cs="仿宋_GB2312"/>
          <w:color w:val="000000"/>
          <w:sz w:val="32"/>
          <w:szCs w:val="32"/>
          <w:highlight w:val="none"/>
        </w:rPr>
        <w:t>项目执行期间，项目</w:t>
      </w:r>
      <w:r>
        <w:rPr>
          <w:rFonts w:hint="eastAsia" w:ascii="仿宋_GB2312" w:hAnsi="宋体" w:eastAsia="仿宋_GB2312" w:cs="仿宋_GB2312"/>
          <w:color w:val="000000"/>
          <w:sz w:val="32"/>
          <w:szCs w:val="32"/>
          <w:highlight w:val="none"/>
          <w:lang w:val="en-US" w:eastAsia="zh-CN"/>
        </w:rPr>
        <w:t>经理</w:t>
      </w:r>
      <w:r>
        <w:rPr>
          <w:rFonts w:ascii="仿宋_GB2312" w:hAnsi="宋体" w:eastAsia="仿宋_GB2312" w:cs="仿宋_GB2312"/>
          <w:color w:val="000000"/>
          <w:sz w:val="32"/>
          <w:szCs w:val="32"/>
          <w:highlight w:val="none"/>
        </w:rPr>
        <w:t>及</w:t>
      </w:r>
      <w:r>
        <w:rPr>
          <w:rFonts w:hint="eastAsia" w:ascii="仿宋_GB2312" w:hAnsi="宋体" w:eastAsia="仿宋_GB2312" w:cs="仿宋_GB2312"/>
          <w:color w:val="000000"/>
          <w:sz w:val="32"/>
          <w:szCs w:val="32"/>
          <w:highlight w:val="none"/>
          <w:lang w:val="en-US" w:eastAsia="zh-CN"/>
        </w:rPr>
        <w:t>报告</w:t>
      </w:r>
      <w:r>
        <w:rPr>
          <w:rFonts w:ascii="仿宋_GB2312" w:hAnsi="宋体" w:eastAsia="仿宋_GB2312" w:cs="仿宋_GB2312"/>
          <w:color w:val="000000"/>
          <w:sz w:val="32"/>
          <w:szCs w:val="32"/>
          <w:highlight w:val="none"/>
        </w:rPr>
        <w:t>主编等关键岗位人员不得更换，以确保项目实施的连续性和稳定性</w:t>
      </w:r>
      <w:r>
        <w:rPr>
          <w:rFonts w:hint="eastAsia" w:ascii="仿宋_GB2312" w:hAnsi="宋体" w:eastAsia="仿宋_GB2312" w:cs="仿宋_GB2312"/>
          <w:color w:val="000000"/>
          <w:sz w:val="32"/>
          <w:szCs w:val="32"/>
          <w:highlight w:val="none"/>
          <w:lang w:eastAsia="zh-CN"/>
        </w:rPr>
        <w:t>。</w:t>
      </w:r>
    </w:p>
    <w:p w14:paraId="594C6473">
      <w:pPr>
        <w:spacing w:line="560" w:lineRule="exact"/>
        <w:ind w:firstLine="640" w:firstLineChars="200"/>
        <w:rPr>
          <w:rFonts w:hint="eastAsia" w:ascii="仿宋_GB2312" w:hAnsi="宋体" w:eastAsia="仿宋_GB2312" w:cs="仿宋_GB2312"/>
          <w:color w:val="000000"/>
          <w:sz w:val="32"/>
          <w:szCs w:val="32"/>
          <w:highlight w:val="none"/>
          <w:lang w:eastAsia="zh-CN"/>
        </w:rPr>
      </w:pPr>
      <w:r>
        <w:rPr>
          <w:rFonts w:hint="eastAsia" w:ascii="仿宋_GB2312" w:hAnsi="宋体" w:eastAsia="仿宋_GB2312" w:cs="仿宋_GB2312"/>
          <w:color w:val="000000"/>
          <w:sz w:val="32"/>
          <w:szCs w:val="32"/>
          <w:highlight w:val="none"/>
          <w:lang w:val="en-US" w:eastAsia="zh-CN"/>
        </w:rPr>
        <w:t>★11</w:t>
      </w:r>
      <w:r>
        <w:rPr>
          <w:rFonts w:hint="eastAsia" w:ascii="仿宋_GB2312" w:hAnsi="宋体" w:eastAsia="仿宋_GB2312" w:cs="仿宋_GB2312"/>
          <w:color w:val="000000"/>
          <w:sz w:val="32"/>
          <w:szCs w:val="32"/>
          <w:highlight w:val="none"/>
        </w:rPr>
        <w:t>.</w:t>
      </w:r>
      <w:r>
        <w:rPr>
          <w:rFonts w:hint="eastAsia" w:ascii="仿宋_GB2312" w:hAnsi="宋体" w:eastAsia="仿宋_GB2312" w:cs="仿宋_GB2312"/>
          <w:color w:val="000000"/>
          <w:sz w:val="32"/>
          <w:szCs w:val="32"/>
          <w:highlight w:val="none"/>
          <w:lang w:val="en-US" w:eastAsia="zh-CN"/>
        </w:rPr>
        <w:t>1</w:t>
      </w:r>
      <w:r>
        <w:rPr>
          <w:rFonts w:hint="eastAsia" w:ascii="仿宋_GB2312" w:hAnsi="宋体" w:eastAsia="仿宋_GB2312" w:cs="仿宋_GB2312"/>
          <w:color w:val="000000"/>
          <w:sz w:val="32"/>
          <w:szCs w:val="32"/>
          <w:highlight w:val="none"/>
        </w:rPr>
        <w:t>供应商派出的项目</w:t>
      </w:r>
      <w:r>
        <w:rPr>
          <w:rFonts w:hint="eastAsia" w:ascii="仿宋_GB2312" w:hAnsi="宋体" w:eastAsia="仿宋_GB2312" w:cs="仿宋_GB2312"/>
          <w:color w:val="000000"/>
          <w:sz w:val="32"/>
          <w:szCs w:val="32"/>
          <w:highlight w:val="none"/>
          <w:lang w:val="en-US" w:eastAsia="zh-CN"/>
        </w:rPr>
        <w:t>经理、报告主编</w:t>
      </w:r>
      <w:r>
        <w:rPr>
          <w:rFonts w:hint="eastAsia" w:ascii="仿宋_GB2312" w:hAnsi="宋体" w:eastAsia="仿宋_GB2312" w:cs="仿宋_GB2312"/>
          <w:color w:val="000000"/>
          <w:sz w:val="32"/>
          <w:szCs w:val="32"/>
          <w:highlight w:val="none"/>
        </w:rPr>
        <w:t>应具有：</w:t>
      </w:r>
      <w:bookmarkStart w:id="8" w:name="_GoBack"/>
      <w:r>
        <w:rPr>
          <w:rFonts w:hint="eastAsia" w:ascii="仿宋_GB2312" w:hAnsi="宋体" w:eastAsia="仿宋_GB2312" w:cs="仿宋_GB2312"/>
          <w:color w:val="auto"/>
          <w:sz w:val="32"/>
          <w:szCs w:val="32"/>
          <w:highlight w:val="none"/>
        </w:rPr>
        <w:t>咨询工程师（投资）登记证书</w:t>
      </w:r>
      <w:bookmarkEnd w:id="8"/>
      <w:r>
        <w:rPr>
          <w:rFonts w:hint="eastAsia" w:ascii="仿宋_GB2312" w:hAnsi="宋体" w:eastAsia="仿宋_GB2312" w:cs="仿宋_GB2312"/>
          <w:color w:val="000000"/>
          <w:sz w:val="32"/>
          <w:szCs w:val="32"/>
          <w:highlight w:val="none"/>
        </w:rPr>
        <w:t>（专业包括但不仅限于电子、信息工程（含通信、广电、信息化））</w:t>
      </w:r>
      <w:r>
        <w:rPr>
          <w:rFonts w:hint="eastAsia" w:ascii="仿宋_GB2312" w:hAnsi="宋体" w:eastAsia="仿宋_GB2312" w:cs="仿宋_GB2312"/>
          <w:color w:val="000000"/>
          <w:sz w:val="32"/>
          <w:szCs w:val="32"/>
          <w:highlight w:val="none"/>
          <w:lang w:eastAsia="zh-CN"/>
        </w:rPr>
        <w:t>。</w:t>
      </w:r>
    </w:p>
    <w:p w14:paraId="2477F7E4">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备注：以上各岗位人员不得重复，人员构成须与响应文件完全一致。供应商承诺人员能力满足以上要求并提供人员名单，在中标后5个工作日内提供证件材料以及供应商在投标截止时间前六个月（不含投标截止日期当月）中任意一个月为其缴纳社保的证明材料验证（承诺函格式自拟）。</w:t>
      </w:r>
    </w:p>
    <w:p w14:paraId="7F66603D">
      <w:pPr>
        <w:numPr>
          <w:ilvl w:val="-1"/>
          <w:numId w:val="0"/>
        </w:numPr>
        <w:spacing w:line="560" w:lineRule="exact"/>
        <w:ind w:firstLine="640" w:firstLineChars="200"/>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12.</w:t>
      </w:r>
      <w:r>
        <w:rPr>
          <w:rFonts w:hint="eastAsia" w:ascii="仿宋_GB2312" w:hAnsi="仿宋_GB2312" w:eastAsia="仿宋_GB2312"/>
          <w:sz w:val="32"/>
          <w:szCs w:val="32"/>
          <w:highlight w:val="none"/>
        </w:rPr>
        <w:t>项目评审要求：供应商提交的项目需求调查报告要通过采购人组织的专家论证会、评审会等，并根据专家意见在约定时间内修改完善项目需求调查报告。</w:t>
      </w:r>
    </w:p>
    <w:p w14:paraId="763720B3">
      <w:pPr>
        <w:numPr>
          <w:ilvl w:val="-1"/>
          <w:numId w:val="0"/>
        </w:numPr>
        <w:spacing w:line="560" w:lineRule="exact"/>
        <w:ind w:firstLine="640" w:firstLineChars="200"/>
        <w:rPr>
          <w:rFonts w:hint="eastAsia" w:ascii="仿宋_GB2312" w:hAnsi="仿宋_GB2312" w:eastAsia="仿宋_GB2312"/>
          <w:b/>
          <w:bCs/>
          <w:sz w:val="32"/>
          <w:szCs w:val="32"/>
          <w:highlight w:val="none"/>
        </w:rPr>
      </w:pPr>
      <w:r>
        <w:rPr>
          <w:rFonts w:hint="eastAsia" w:ascii="仿宋_GB2312" w:hAnsi="仿宋_GB2312" w:eastAsia="仿宋_GB2312"/>
          <w:sz w:val="32"/>
          <w:szCs w:val="32"/>
          <w:highlight w:val="none"/>
          <w:lang w:val="en-US" w:eastAsia="zh-CN"/>
        </w:rPr>
        <w:t>13.</w:t>
      </w:r>
      <w:r>
        <w:rPr>
          <w:rFonts w:hint="eastAsia" w:ascii="仿宋_GB2312" w:hAnsi="仿宋_GB2312" w:eastAsia="仿宋_GB2312"/>
          <w:sz w:val="32"/>
          <w:szCs w:val="32"/>
          <w:highlight w:val="none"/>
        </w:rPr>
        <w:t>供应商应承诺，项目服务期到期后一年内，应按采购人要求在采购范围内免费配合成果文档修订。</w:t>
      </w:r>
      <w:r>
        <w:rPr>
          <w:rFonts w:hint="eastAsia" w:ascii="仿宋_GB2312" w:hAnsi="仿宋_GB2312" w:eastAsia="仿宋_GB2312"/>
          <w:b w:val="0"/>
          <w:bCs w:val="0"/>
          <w:sz w:val="32"/>
          <w:szCs w:val="32"/>
          <w:highlight w:val="none"/>
          <w:lang w:eastAsia="zh-CN"/>
        </w:rPr>
        <w:t>（</w:t>
      </w:r>
      <w:r>
        <w:rPr>
          <w:rFonts w:hint="eastAsia" w:ascii="仿宋_GB2312" w:hAnsi="仿宋_GB2312" w:eastAsia="仿宋_GB2312"/>
          <w:b w:val="0"/>
          <w:bCs w:val="0"/>
          <w:sz w:val="32"/>
          <w:szCs w:val="32"/>
          <w:highlight w:val="none"/>
        </w:rPr>
        <w:t>供应商提供承诺函。</w:t>
      </w:r>
      <w:r>
        <w:rPr>
          <w:rFonts w:hint="eastAsia" w:ascii="仿宋_GB2312" w:hAnsi="仿宋_GB2312" w:eastAsia="仿宋_GB2312"/>
          <w:b w:val="0"/>
          <w:bCs w:val="0"/>
          <w:sz w:val="32"/>
          <w:szCs w:val="32"/>
          <w:highlight w:val="none"/>
          <w:lang w:eastAsia="zh-CN"/>
        </w:rPr>
        <w:t>）</w:t>
      </w:r>
    </w:p>
    <w:p w14:paraId="16BF59CD">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rPr>
        <w:t>1</w:t>
      </w:r>
      <w:r>
        <w:rPr>
          <w:rFonts w:hint="eastAsia" w:ascii="仿宋_GB2312" w:hAnsi="仿宋_GB2312" w:eastAsia="仿宋_GB2312"/>
          <w:sz w:val="32"/>
          <w:szCs w:val="32"/>
          <w:highlight w:val="none"/>
          <w:lang w:val="en-US" w:eastAsia="zh-CN"/>
        </w:rPr>
        <w:t>4</w:t>
      </w:r>
      <w:r>
        <w:rPr>
          <w:rFonts w:hint="eastAsia" w:ascii="仿宋_GB2312" w:hAnsi="仿宋_GB2312" w:eastAsia="仿宋_GB2312"/>
          <w:sz w:val="32"/>
          <w:szCs w:val="32"/>
          <w:highlight w:val="none"/>
        </w:rPr>
        <w:t>.因供应商自身原因导致项目无法顺利进行的，采购人有权解除合同，并有权对供应商进行相应的处罚。供应商任何行为造成采购人或者他人的损失,均由供应商承担相应的赔偿责任。</w:t>
      </w:r>
    </w:p>
    <w:p w14:paraId="76CF35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b/>
          <w:bCs/>
          <w:sz w:val="32"/>
          <w:szCs w:val="32"/>
          <w:highlight w:val="none"/>
          <w:lang w:eastAsia="zh-CN"/>
        </w:rPr>
      </w:pPr>
      <w:r>
        <w:rPr>
          <w:rFonts w:hint="eastAsia" w:ascii="仿宋_GB2312" w:hAnsi="仿宋_GB2312" w:eastAsia="仿宋_GB2312"/>
          <w:b/>
          <w:bCs/>
          <w:sz w:val="32"/>
          <w:szCs w:val="32"/>
          <w:highlight w:val="none"/>
        </w:rPr>
        <w:t>三、</w:t>
      </w:r>
      <w:r>
        <w:rPr>
          <w:rFonts w:hint="eastAsia" w:ascii="仿宋_GB2312" w:hAnsi="仿宋_GB2312" w:eastAsia="仿宋_GB2312"/>
          <w:b/>
          <w:bCs/>
          <w:sz w:val="32"/>
          <w:szCs w:val="32"/>
          <w:highlight w:val="none"/>
          <w:lang w:eastAsia="zh-CN"/>
        </w:rPr>
        <w:t>服务</w:t>
      </w:r>
      <w:r>
        <w:rPr>
          <w:rFonts w:hint="eastAsia" w:ascii="仿宋_GB2312" w:hAnsi="仿宋_GB2312" w:eastAsia="仿宋_GB2312"/>
          <w:b/>
          <w:bCs/>
          <w:sz w:val="32"/>
          <w:szCs w:val="32"/>
          <w:highlight w:val="none"/>
        </w:rPr>
        <w:t>时间</w:t>
      </w:r>
      <w:r>
        <w:rPr>
          <w:rFonts w:hint="eastAsia" w:ascii="仿宋_GB2312" w:hAnsi="仿宋_GB2312" w:eastAsia="仿宋_GB2312"/>
          <w:b/>
          <w:bCs/>
          <w:sz w:val="32"/>
          <w:szCs w:val="32"/>
          <w:highlight w:val="none"/>
          <w:lang w:eastAsia="zh-CN"/>
        </w:rPr>
        <w:t>及验收要求</w:t>
      </w:r>
    </w:p>
    <w:p w14:paraId="1A65EBC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eastAsia="仿宋_GB2312" w:cs="仿宋_GB2312"/>
          <w:color w:val="000000"/>
          <w:sz w:val="32"/>
          <w:szCs w:val="32"/>
          <w:highlight w:val="none"/>
          <w:lang w:eastAsia="zh-CN"/>
        </w:rPr>
      </w:pPr>
      <w:r>
        <w:rPr>
          <w:rFonts w:hint="eastAsia" w:ascii="仿宋_GB2312" w:eastAsia="仿宋_GB2312" w:cs="仿宋_GB2312"/>
          <w:color w:val="000000"/>
          <w:sz w:val="32"/>
          <w:szCs w:val="32"/>
          <w:highlight w:val="none"/>
        </w:rPr>
        <w:t>为满足采购人技术和服务要求，</w:t>
      </w:r>
      <w:bookmarkStart w:id="6" w:name="OLE_LINK7"/>
      <w:r>
        <w:rPr>
          <w:rFonts w:hint="eastAsia" w:ascii="仿宋_GB2312" w:eastAsia="仿宋_GB2312" w:cs="仿宋_GB2312"/>
          <w:color w:val="000000"/>
          <w:sz w:val="32"/>
          <w:szCs w:val="32"/>
          <w:highlight w:val="none"/>
        </w:rPr>
        <w:t>同时保证服务质量。</w:t>
      </w:r>
      <w:r>
        <w:rPr>
          <w:rFonts w:hint="eastAsia" w:ascii="仿宋_GB2312" w:eastAsia="仿宋_GB2312" w:cs="仿宋_GB2312"/>
          <w:color w:val="000000"/>
          <w:sz w:val="32"/>
          <w:szCs w:val="32"/>
          <w:highlight w:val="none"/>
          <w:lang w:eastAsia="zh-CN"/>
        </w:rPr>
        <w:t>供应商</w:t>
      </w:r>
      <w:r>
        <w:rPr>
          <w:rFonts w:hint="eastAsia" w:ascii="仿宋_GB2312" w:eastAsia="仿宋_GB2312" w:cs="仿宋_GB2312"/>
          <w:color w:val="000000"/>
          <w:sz w:val="32"/>
          <w:szCs w:val="32"/>
          <w:highlight w:val="none"/>
        </w:rPr>
        <w:t>应自合同签订后</w:t>
      </w:r>
      <w:r>
        <w:rPr>
          <w:rFonts w:hint="eastAsia" w:ascii="仿宋_GB2312" w:eastAsia="仿宋_GB2312" w:cs="仿宋_GB2312"/>
          <w:color w:val="000000"/>
          <w:sz w:val="32"/>
          <w:szCs w:val="32"/>
          <w:highlight w:val="none"/>
          <w:lang w:val="en-US" w:eastAsia="zh-CN"/>
        </w:rPr>
        <w:t>3</w:t>
      </w:r>
      <w:r>
        <w:rPr>
          <w:rFonts w:hint="eastAsia" w:ascii="仿宋_GB2312" w:eastAsia="仿宋_GB2312" w:cs="仿宋_GB2312"/>
          <w:color w:val="000000"/>
          <w:sz w:val="32"/>
          <w:szCs w:val="32"/>
          <w:highlight w:val="none"/>
        </w:rPr>
        <w:t>个工作日内提交</w:t>
      </w:r>
      <w:bookmarkStart w:id="7" w:name="OLE_LINK1"/>
      <w:r>
        <w:rPr>
          <w:rFonts w:hint="eastAsia" w:ascii="仿宋_GB2312" w:eastAsia="仿宋_GB2312" w:cs="仿宋_GB2312"/>
          <w:color w:val="000000"/>
          <w:sz w:val="32"/>
          <w:szCs w:val="32"/>
          <w:highlight w:val="none"/>
          <w:lang w:eastAsia="zh-CN"/>
        </w:rPr>
        <w:t>编制</w:t>
      </w:r>
      <w:r>
        <w:rPr>
          <w:rFonts w:hint="eastAsia" w:ascii="仿宋_GB2312" w:eastAsia="仿宋_GB2312" w:cs="仿宋_GB2312"/>
          <w:color w:val="000000"/>
          <w:sz w:val="32"/>
          <w:szCs w:val="32"/>
          <w:highlight w:val="none"/>
        </w:rPr>
        <w:t>服务实施</w:t>
      </w:r>
      <w:r>
        <w:rPr>
          <w:rFonts w:hint="eastAsia" w:ascii="仿宋_GB2312" w:eastAsia="仿宋_GB2312" w:cs="仿宋_GB2312"/>
          <w:color w:val="000000"/>
          <w:sz w:val="32"/>
          <w:szCs w:val="32"/>
          <w:highlight w:val="none"/>
          <w:lang w:eastAsia="zh-CN"/>
        </w:rPr>
        <w:t>计划</w:t>
      </w:r>
      <w:bookmarkEnd w:id="7"/>
      <w:r>
        <w:rPr>
          <w:rFonts w:hint="eastAsia" w:ascii="仿宋_GB2312" w:eastAsia="仿宋_GB2312" w:cs="仿宋_GB2312"/>
          <w:color w:val="000000"/>
          <w:sz w:val="32"/>
          <w:szCs w:val="32"/>
          <w:highlight w:val="none"/>
          <w:lang w:eastAsia="zh-CN"/>
        </w:rPr>
        <w:t>，</w:t>
      </w:r>
      <w:r>
        <w:rPr>
          <w:rFonts w:hint="eastAsia" w:ascii="仿宋_GB2312" w:eastAsia="仿宋_GB2312" w:cs="仿宋_GB2312"/>
          <w:color w:val="000000"/>
          <w:sz w:val="32"/>
          <w:szCs w:val="32"/>
          <w:highlight w:val="none"/>
        </w:rPr>
        <w:t>合同签订</w:t>
      </w:r>
      <w:r>
        <w:rPr>
          <w:rFonts w:hint="eastAsia" w:ascii="仿宋_GB2312" w:eastAsia="仿宋_GB2312" w:cs="仿宋_GB2312"/>
          <w:color w:val="000000"/>
          <w:sz w:val="32"/>
          <w:szCs w:val="32"/>
          <w:highlight w:val="none"/>
          <w:lang w:val="en-US" w:eastAsia="zh-CN"/>
        </w:rPr>
        <w:t>3</w:t>
      </w:r>
      <w:r>
        <w:rPr>
          <w:rFonts w:hint="eastAsia" w:ascii="仿宋_GB2312" w:eastAsia="仿宋_GB2312" w:cs="仿宋_GB2312"/>
          <w:color w:val="000000"/>
          <w:sz w:val="32"/>
          <w:szCs w:val="32"/>
          <w:highlight w:val="none"/>
        </w:rPr>
        <w:t>个月内，</w:t>
      </w:r>
      <w:r>
        <w:rPr>
          <w:rFonts w:hint="eastAsia" w:ascii="仿宋_GB2312" w:eastAsia="仿宋_GB2312" w:cs="仿宋_GB2312"/>
          <w:color w:val="000000"/>
          <w:sz w:val="32"/>
          <w:szCs w:val="32"/>
          <w:highlight w:val="none"/>
          <w:lang w:eastAsia="zh-CN"/>
        </w:rPr>
        <w:t>完成</w:t>
      </w:r>
      <w:r>
        <w:rPr>
          <w:rFonts w:hint="eastAsia" w:ascii="仿宋_GB2312" w:eastAsia="仿宋_GB2312" w:cs="仿宋_GB2312"/>
          <w:color w:val="000000"/>
          <w:sz w:val="32"/>
          <w:szCs w:val="32"/>
          <w:highlight w:val="none"/>
        </w:rPr>
        <w:t>验收。</w:t>
      </w:r>
      <w:bookmarkEnd w:id="6"/>
    </w:p>
    <w:p w14:paraId="5A48CD6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lang w:eastAsia="zh-CN"/>
        </w:rPr>
        <w:t>验收方式：专家评审。</w:t>
      </w:r>
    </w:p>
    <w:bookmarkEnd w:id="2"/>
    <w:bookmarkEnd w:id="3"/>
    <w:p w14:paraId="6ECA73E2">
      <w:pPr>
        <w:pStyle w:val="4"/>
        <w:ind w:firstLine="643" w:firstLineChars="200"/>
        <w:rPr>
          <w:rFonts w:ascii="仿宋_GB2312" w:hAnsi="仿宋_GB2312" w:eastAsia="仿宋_GB2312" w:cstheme="minorBidi"/>
          <w:kern w:val="2"/>
          <w:sz w:val="32"/>
          <w:szCs w:val="32"/>
          <w:highlight w:val="none"/>
        </w:rPr>
      </w:pPr>
      <w:r>
        <w:rPr>
          <w:rFonts w:hint="eastAsia" w:ascii="仿宋_GB2312" w:hAnsi="仿宋_GB2312" w:eastAsia="仿宋_GB2312" w:cstheme="minorBidi"/>
          <w:kern w:val="2"/>
          <w:sz w:val="32"/>
          <w:szCs w:val="32"/>
          <w:highlight w:val="none"/>
        </w:rPr>
        <w:t>四、付款方式</w:t>
      </w:r>
    </w:p>
    <w:tbl>
      <w:tblPr>
        <w:tblStyle w:val="7"/>
        <w:tblW w:w="5000"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26"/>
        <w:gridCol w:w="1679"/>
        <w:gridCol w:w="5531"/>
      </w:tblGrid>
      <w:tr w14:paraId="6924E3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693" w:hRule="atLeast"/>
          <w:tblHeader/>
          <w:tblCellSpacing w:w="0" w:type="dxa"/>
          <w:jc w:val="center"/>
        </w:trPr>
        <w:tc>
          <w:tcPr>
            <w:tcW w:w="1126" w:type="dxa"/>
            <w:tcBorders>
              <w:top w:val="outset" w:color="auto" w:sz="6" w:space="0"/>
              <w:left w:val="outset" w:color="auto" w:sz="6" w:space="0"/>
              <w:bottom w:val="outset" w:color="auto" w:sz="6" w:space="0"/>
              <w:right w:val="outset" w:color="auto" w:sz="6" w:space="0"/>
            </w:tcBorders>
            <w:vAlign w:val="center"/>
          </w:tcPr>
          <w:p w14:paraId="022B3211">
            <w:pPr>
              <w:spacing w:line="500" w:lineRule="exact"/>
              <w:jc w:val="center"/>
              <w:rPr>
                <w:rFonts w:ascii="仿宋_GB2312" w:hAnsi="仿宋_GB2312" w:eastAsia="仿宋_GB2312"/>
                <w:b/>
                <w:bCs/>
                <w:sz w:val="24"/>
                <w:szCs w:val="24"/>
                <w:highlight w:val="none"/>
              </w:rPr>
            </w:pPr>
            <w:r>
              <w:rPr>
                <w:rFonts w:hint="eastAsia" w:ascii="仿宋_GB2312" w:hAnsi="仿宋_GB2312" w:eastAsia="仿宋_GB2312"/>
                <w:b/>
                <w:bCs/>
                <w:sz w:val="24"/>
                <w:szCs w:val="24"/>
                <w:highlight w:val="none"/>
              </w:rPr>
              <w:t>支付期次</w:t>
            </w:r>
          </w:p>
        </w:tc>
        <w:tc>
          <w:tcPr>
            <w:tcW w:w="1679" w:type="dxa"/>
            <w:tcBorders>
              <w:top w:val="outset" w:color="auto" w:sz="6" w:space="0"/>
              <w:left w:val="outset" w:color="auto" w:sz="6" w:space="0"/>
              <w:bottom w:val="outset" w:color="auto" w:sz="6" w:space="0"/>
              <w:right w:val="outset" w:color="auto" w:sz="6" w:space="0"/>
            </w:tcBorders>
            <w:vAlign w:val="center"/>
          </w:tcPr>
          <w:p w14:paraId="34D250DE">
            <w:pPr>
              <w:spacing w:line="500" w:lineRule="exact"/>
              <w:jc w:val="center"/>
              <w:rPr>
                <w:rFonts w:ascii="仿宋_GB2312" w:hAnsi="仿宋_GB2312" w:eastAsia="仿宋_GB2312"/>
                <w:b/>
                <w:bCs/>
                <w:sz w:val="24"/>
                <w:szCs w:val="24"/>
                <w:highlight w:val="none"/>
              </w:rPr>
            </w:pPr>
            <w:r>
              <w:rPr>
                <w:rFonts w:hint="eastAsia" w:ascii="仿宋_GB2312" w:hAnsi="仿宋_GB2312" w:eastAsia="仿宋_GB2312"/>
                <w:b/>
                <w:bCs/>
                <w:sz w:val="24"/>
                <w:szCs w:val="24"/>
                <w:highlight w:val="none"/>
              </w:rPr>
              <w:t>支付比例(%)</w:t>
            </w:r>
          </w:p>
        </w:tc>
        <w:tc>
          <w:tcPr>
            <w:tcW w:w="5531" w:type="dxa"/>
            <w:tcBorders>
              <w:top w:val="outset" w:color="auto" w:sz="6" w:space="0"/>
              <w:left w:val="outset" w:color="auto" w:sz="6" w:space="0"/>
              <w:bottom w:val="outset" w:color="auto" w:sz="6" w:space="0"/>
              <w:right w:val="outset" w:color="auto" w:sz="6" w:space="0"/>
            </w:tcBorders>
            <w:vAlign w:val="center"/>
          </w:tcPr>
          <w:p w14:paraId="0F4F77E1">
            <w:pPr>
              <w:spacing w:line="500" w:lineRule="exact"/>
              <w:jc w:val="center"/>
              <w:rPr>
                <w:rFonts w:ascii="仿宋_GB2312" w:hAnsi="仿宋_GB2312" w:eastAsia="仿宋_GB2312"/>
                <w:b/>
                <w:bCs/>
                <w:sz w:val="24"/>
                <w:szCs w:val="24"/>
                <w:highlight w:val="none"/>
              </w:rPr>
            </w:pPr>
            <w:r>
              <w:rPr>
                <w:rFonts w:hint="eastAsia" w:ascii="仿宋_GB2312" w:hAnsi="仿宋_GB2312" w:eastAsia="仿宋_GB2312"/>
                <w:b/>
                <w:bCs/>
                <w:sz w:val="24"/>
                <w:szCs w:val="24"/>
                <w:highlight w:val="none"/>
              </w:rPr>
              <w:t>支付期次说明</w:t>
            </w:r>
          </w:p>
        </w:tc>
      </w:tr>
      <w:tr w14:paraId="493A38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126" w:type="dxa"/>
            <w:tcBorders>
              <w:top w:val="outset" w:color="auto" w:sz="6" w:space="0"/>
              <w:left w:val="outset" w:color="auto" w:sz="6" w:space="0"/>
              <w:bottom w:val="outset" w:color="auto" w:sz="6" w:space="0"/>
              <w:right w:val="outset" w:color="auto" w:sz="6" w:space="0"/>
            </w:tcBorders>
            <w:vAlign w:val="center"/>
          </w:tcPr>
          <w:p w14:paraId="7CA0CA2E"/>
        </w:tc>
        <w:tc>
          <w:tcPr>
            <w:tcW w:w="1679" w:type="dxa"/>
            <w:tcBorders>
              <w:top w:val="outset" w:color="auto" w:sz="6" w:space="0"/>
              <w:left w:val="outset" w:color="auto" w:sz="6" w:space="0"/>
              <w:bottom w:val="outset" w:color="auto" w:sz="6" w:space="0"/>
              <w:right w:val="outset" w:color="auto" w:sz="6" w:space="0"/>
            </w:tcBorders>
            <w:vAlign w:val="center"/>
          </w:tcPr>
          <w:p w14:paraId="2C7B452A"/>
        </w:tc>
        <w:tc>
          <w:tcPr>
            <w:tcW w:w="5531" w:type="dxa"/>
            <w:tcBorders>
              <w:top w:val="outset" w:color="auto" w:sz="6" w:space="0"/>
              <w:left w:val="outset" w:color="auto" w:sz="6" w:space="0"/>
              <w:bottom w:val="outset" w:color="auto" w:sz="6" w:space="0"/>
              <w:right w:val="outset" w:color="auto" w:sz="6" w:space="0"/>
            </w:tcBorders>
            <w:vAlign w:val="center"/>
          </w:tcPr>
          <w:p w14:paraId="5C8D9184"/>
        </w:tc>
      </w:tr>
      <w:tr w14:paraId="22B7CF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126" w:type="dxa"/>
            <w:tcBorders>
              <w:top w:val="outset" w:color="auto" w:sz="6" w:space="0"/>
              <w:left w:val="outset" w:color="auto" w:sz="6" w:space="0"/>
              <w:bottom w:val="outset" w:color="auto" w:sz="6" w:space="0"/>
              <w:right w:val="outset" w:color="auto" w:sz="6" w:space="0"/>
            </w:tcBorders>
            <w:vAlign w:val="center"/>
          </w:tcPr>
          <w:p w14:paraId="1884B539">
            <w:pPr>
              <w:spacing w:line="500" w:lineRule="exact"/>
              <w:ind w:firstLine="480" w:firstLineChars="200"/>
              <w:rPr>
                <w:rFonts w:hint="eastAsia" w:ascii="仿宋_GB2312" w:hAnsi="仿宋_GB2312" w:eastAsia="仿宋_GB2312"/>
                <w:sz w:val="24"/>
                <w:szCs w:val="24"/>
                <w:highlight w:val="none"/>
                <w:lang w:eastAsia="zh-CN"/>
              </w:rPr>
            </w:pPr>
            <w:r>
              <w:rPr>
                <w:rFonts w:hint="eastAsia" w:ascii="仿宋_GB2312" w:hAnsi="仿宋_GB2312" w:eastAsia="仿宋_GB2312"/>
                <w:sz w:val="24"/>
                <w:szCs w:val="24"/>
                <w:highlight w:val="none"/>
                <w:lang w:val="en-US" w:eastAsia="zh-CN"/>
              </w:rPr>
              <w:t>1</w:t>
            </w:r>
          </w:p>
        </w:tc>
        <w:tc>
          <w:tcPr>
            <w:tcW w:w="1679" w:type="dxa"/>
            <w:tcBorders>
              <w:top w:val="outset" w:color="auto" w:sz="6" w:space="0"/>
              <w:left w:val="outset" w:color="auto" w:sz="6" w:space="0"/>
              <w:bottom w:val="outset" w:color="auto" w:sz="6" w:space="0"/>
              <w:right w:val="outset" w:color="auto" w:sz="6" w:space="0"/>
            </w:tcBorders>
            <w:vAlign w:val="center"/>
          </w:tcPr>
          <w:p w14:paraId="6012B5AE">
            <w:pPr>
              <w:spacing w:line="500" w:lineRule="exact"/>
              <w:jc w:val="center"/>
              <w:rPr>
                <w:rFonts w:hint="default" w:ascii="仿宋_GB2312" w:hAnsi="仿宋_GB2312" w:eastAsia="仿宋_GB2312"/>
                <w:sz w:val="24"/>
                <w:szCs w:val="24"/>
                <w:highlight w:val="none"/>
                <w:lang w:val="en-US" w:eastAsia="zh-CN"/>
              </w:rPr>
            </w:pPr>
            <w:r>
              <w:rPr>
                <w:rFonts w:hint="eastAsia" w:ascii="仿宋_GB2312" w:hAnsi="仿宋_GB2312" w:eastAsia="仿宋_GB2312"/>
                <w:sz w:val="24"/>
                <w:szCs w:val="24"/>
                <w:highlight w:val="none"/>
                <w:lang w:val="en-US" w:eastAsia="zh-CN"/>
              </w:rPr>
              <w:t>100</w:t>
            </w:r>
          </w:p>
        </w:tc>
        <w:tc>
          <w:tcPr>
            <w:tcW w:w="5531" w:type="dxa"/>
            <w:tcBorders>
              <w:top w:val="outset" w:color="auto" w:sz="6" w:space="0"/>
              <w:left w:val="outset" w:color="auto" w:sz="6" w:space="0"/>
              <w:bottom w:val="outset" w:color="auto" w:sz="6" w:space="0"/>
              <w:right w:val="outset" w:color="auto" w:sz="6" w:space="0"/>
            </w:tcBorders>
            <w:vAlign w:val="center"/>
          </w:tcPr>
          <w:p w14:paraId="1E96C07E">
            <w:pPr>
              <w:spacing w:line="500" w:lineRule="exact"/>
              <w:ind w:firstLine="480" w:firstLineChars="200"/>
              <w:rPr>
                <w:rFonts w:ascii="仿宋_GB2312" w:hAnsi="仿宋_GB2312" w:eastAsia="仿宋_GB2312"/>
                <w:sz w:val="24"/>
                <w:szCs w:val="24"/>
                <w:highlight w:val="none"/>
              </w:rPr>
            </w:pPr>
            <w:r>
              <w:rPr>
                <w:rFonts w:hint="eastAsia" w:ascii="仿宋_GB2312" w:hAnsi="仿宋_GB2312" w:eastAsia="仿宋_GB2312"/>
                <w:sz w:val="24"/>
                <w:szCs w:val="24"/>
                <w:highlight w:val="none"/>
              </w:rPr>
              <w:t>需求调查报告全部通过</w:t>
            </w:r>
            <w:r>
              <w:rPr>
                <w:rFonts w:hint="eastAsia" w:ascii="仿宋_GB2312" w:hAnsi="仿宋_GB2312" w:eastAsia="仿宋_GB2312"/>
                <w:sz w:val="24"/>
                <w:szCs w:val="24"/>
                <w:highlight w:val="none"/>
                <w:lang w:eastAsia="zh-CN"/>
              </w:rPr>
              <w:t>专家</w:t>
            </w:r>
            <w:r>
              <w:rPr>
                <w:rFonts w:hint="eastAsia" w:ascii="仿宋_GB2312" w:hAnsi="仿宋_GB2312" w:eastAsia="仿宋_GB2312"/>
                <w:sz w:val="24"/>
                <w:szCs w:val="24"/>
                <w:highlight w:val="none"/>
              </w:rPr>
              <w:t>评审</w:t>
            </w:r>
            <w:r>
              <w:rPr>
                <w:rFonts w:hint="eastAsia" w:ascii="仿宋_GB2312" w:hAnsi="仿宋_GB2312" w:eastAsia="仿宋_GB2312"/>
                <w:sz w:val="24"/>
                <w:szCs w:val="24"/>
                <w:highlight w:val="none"/>
                <w:lang w:eastAsia="zh-CN"/>
              </w:rPr>
              <w:t>后，进行全</w:t>
            </w:r>
            <w:r>
              <w:rPr>
                <w:rFonts w:hint="eastAsia" w:ascii="仿宋_GB2312" w:hAnsi="仿宋_GB2312" w:eastAsia="仿宋_GB2312"/>
                <w:color w:val="auto"/>
                <w:sz w:val="24"/>
                <w:szCs w:val="24"/>
                <w:highlight w:val="none"/>
                <w:lang w:eastAsia="zh-CN"/>
              </w:rPr>
              <w:t>部项目款支</w:t>
            </w:r>
            <w:r>
              <w:rPr>
                <w:rFonts w:hint="eastAsia" w:ascii="仿宋_GB2312" w:hAnsi="仿宋_GB2312" w:eastAsia="仿宋_GB2312"/>
                <w:sz w:val="24"/>
                <w:szCs w:val="24"/>
                <w:highlight w:val="none"/>
                <w:lang w:eastAsia="zh-CN"/>
              </w:rPr>
              <w:t>付。</w:t>
            </w:r>
            <w:r>
              <w:rPr>
                <w:rFonts w:hint="eastAsia" w:ascii="仿宋_GB2312" w:hAnsi="仿宋_GB2312" w:eastAsia="仿宋_GB2312"/>
                <w:sz w:val="24"/>
                <w:szCs w:val="24"/>
                <w:highlight w:val="none"/>
              </w:rPr>
              <w:t>成交供应商须开具款项等额正式税务发票。</w:t>
            </w:r>
          </w:p>
        </w:tc>
      </w:tr>
    </w:tbl>
    <w:p w14:paraId="068F4B83">
      <w:pPr>
        <w:spacing w:line="560" w:lineRule="exact"/>
        <w:rPr>
          <w:sz w:val="28"/>
          <w:szCs w:val="28"/>
          <w:highlight w:val="none"/>
        </w:rPr>
      </w:pPr>
    </w:p>
    <w:p w14:paraId="4FD0E051">
      <w:pPr>
        <w:rPr>
          <w:highlight w:val="none"/>
        </w:rPr>
      </w:pPr>
    </w:p>
    <w:p w14:paraId="754A9E6F"/>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451620"/>
    </w:sdtPr>
    <w:sdtContent>
      <w:p w14:paraId="7EB2CB7F">
        <w:pPr>
          <w:pStyle w:val="5"/>
          <w:ind w:firstLine="360"/>
          <w:jc w:val="cente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C6EA6">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0DD21">
    <w:pPr>
      <w:pStyle w:val="5"/>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F0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2"/>
    <w:basedOn w:val="1"/>
    <w:next w:val="2"/>
    <w:qFormat/>
    <w:uiPriority w:val="0"/>
    <w:pPr>
      <w:spacing w:after="120" w:line="480" w:lineRule="auto"/>
    </w:pPr>
  </w:style>
  <w:style w:type="paragraph" w:styleId="5">
    <w:name w:val="footer"/>
    <w:basedOn w:val="1"/>
    <w:unhideWhenUsed/>
    <w:qFormat/>
    <w:uiPriority w:val="99"/>
    <w:pPr>
      <w:tabs>
        <w:tab w:val="center" w:pos="4153"/>
        <w:tab w:val="right" w:pos="8306"/>
      </w:tabs>
      <w:snapToGrid w:val="0"/>
      <w:spacing w:line="360" w:lineRule="auto"/>
      <w:ind w:firstLine="480" w:firstLineChars="200"/>
      <w:jc w:val="left"/>
    </w:pPr>
    <w:rPr>
      <w:rFonts w:ascii="Times New Roman" w:hAnsi="Times New Roman" w:eastAsia="宋体" w:cs="Times New Roman"/>
      <w:sz w:val="18"/>
      <w:szCs w:val="18"/>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2026-06-15T09:44:32Z</dcterms:created>
  <dc:creator>Administrator</dc:creator>
  <cp:lastModifiedBy>Administrator</cp:lastModifiedBy>
  <dcterms:modified xsi:type="dcterms:W3CDTF">2026-06-15T09:45:39Z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D708E05E5DDF4390AA6E8309E5D57728_12</vt:lpwstr>
  </property>
</Properties>
</file>